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Theme="majorHAnsi" w:eastAsiaTheme="majorEastAsia" w:hAnsiTheme="majorHAnsi" w:cstheme="majorBidi"/>
          <w:caps/>
          <w:lang w:val="en-US"/>
        </w:rPr>
        <w:id w:val="7475929"/>
        <w:docPartObj>
          <w:docPartGallery w:val="Cover Pages"/>
          <w:docPartUnique/>
        </w:docPartObj>
      </w:sdtPr>
      <w:sdtEndPr>
        <w:rPr>
          <w:rFonts w:ascii="Times New Roman" w:eastAsiaTheme="minorEastAsia" w:hAnsi="Times New Roman" w:cs="Times New Roman"/>
          <w:b/>
          <w:caps w:val="0"/>
          <w:sz w:val="28"/>
          <w:szCs w:val="28"/>
        </w:rPr>
      </w:sdtEndPr>
      <w:sdtContent>
        <w:tbl>
          <w:tblPr>
            <w:tblW w:w="5000" w:type="pct"/>
            <w:jc w:val="center"/>
            <w:tblLook w:val="04A0"/>
          </w:tblPr>
          <w:tblGrid>
            <w:gridCol w:w="9576"/>
          </w:tblGrid>
          <w:tr w:rsidR="00BA14E6" w:rsidTr="00AE24FE">
            <w:trPr>
              <w:trHeight w:val="1620"/>
              <w:jc w:val="center"/>
            </w:trPr>
            <w:tc>
              <w:tcPr>
                <w:tcW w:w="5000" w:type="pct"/>
              </w:tcPr>
              <w:p w:rsidR="00BA14E6" w:rsidRDefault="00BA14E6" w:rsidP="00F33385">
                <w:pPr>
                  <w:pStyle w:val="Nincstrkz"/>
                  <w:spacing w:after="240" w:line="360" w:lineRule="auto"/>
                  <w:jc w:val="center"/>
                  <w:rPr>
                    <w:rFonts w:asciiTheme="majorHAnsi" w:eastAsiaTheme="majorEastAsia" w:hAnsiTheme="majorHAnsi" w:cstheme="majorBidi"/>
                    <w:caps/>
                  </w:rPr>
                </w:pPr>
              </w:p>
            </w:tc>
          </w:tr>
          <w:tr w:rsidR="00BA14E6">
            <w:trPr>
              <w:trHeight w:val="1440"/>
              <w:jc w:val="center"/>
            </w:trPr>
            <w:sdt>
              <w:sdtPr>
                <w:rPr>
                  <w:rFonts w:ascii="Times New Roman" w:eastAsia="Arial" w:hAnsi="Times New Roman" w:cs="Times New Roman"/>
                  <w:b/>
                  <w:color w:val="000000"/>
                  <w:sz w:val="40"/>
                  <w:szCs w:val="40"/>
                </w:rPr>
                <w:alias w:val="Cím"/>
                <w:id w:val="15524250"/>
                <w:placeholder>
                  <w:docPart w:val="7C870DC5765049A8B4DF5F75C0AA3A11"/>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BA14E6" w:rsidRPr="00BA14E6" w:rsidRDefault="00BA14E6" w:rsidP="00F33385">
                    <w:pPr>
                      <w:pStyle w:val="Nincstrkz"/>
                      <w:spacing w:after="240" w:line="360" w:lineRule="auto"/>
                      <w:jc w:val="center"/>
                      <w:rPr>
                        <w:rFonts w:asciiTheme="majorHAnsi" w:eastAsiaTheme="majorEastAsia" w:hAnsiTheme="majorHAnsi" w:cstheme="majorBidi"/>
                        <w:b/>
                        <w:sz w:val="80"/>
                        <w:szCs w:val="80"/>
                      </w:rPr>
                    </w:pPr>
                    <w:r w:rsidRPr="00BA14E6">
                      <w:rPr>
                        <w:rFonts w:ascii="Times New Roman" w:eastAsia="Arial" w:hAnsi="Times New Roman" w:cs="Times New Roman"/>
                        <w:b/>
                        <w:color w:val="000000"/>
                        <w:sz w:val="40"/>
                        <w:szCs w:val="40"/>
                      </w:rPr>
                      <w:t>Eötvös Loránd Tudományegyetem     Természettudományi Kar</w:t>
                    </w:r>
                    <w:r>
                      <w:rPr>
                        <w:rFonts w:ascii="Times New Roman" w:eastAsia="Arial" w:hAnsi="Times New Roman" w:cs="Times New Roman"/>
                        <w:b/>
                        <w:color w:val="000000"/>
                        <w:sz w:val="40"/>
                        <w:szCs w:val="40"/>
                      </w:rPr>
                      <w:t xml:space="preserve">                                           </w:t>
                    </w:r>
                    <w:r w:rsidRPr="007F5E8B">
                      <w:rPr>
                        <w:rFonts w:ascii="Times New Roman" w:eastAsia="Arial" w:hAnsi="Times New Roman" w:cs="Times New Roman"/>
                        <w:b/>
                        <w:color w:val="000000"/>
                        <w:sz w:val="40"/>
                        <w:szCs w:val="40"/>
                      </w:rPr>
                      <w:t>Hallgatói Önkormányzat</w:t>
                    </w:r>
                  </w:p>
                </w:tc>
              </w:sdtContent>
            </w:sdt>
          </w:tr>
          <w:tr w:rsidR="00BA14E6">
            <w:trPr>
              <w:trHeight w:val="720"/>
              <w:jc w:val="center"/>
            </w:trPr>
            <w:sdt>
              <w:sdtPr>
                <w:rPr>
                  <w:rFonts w:ascii="Times New Roman" w:hAnsi="Times New Roman" w:cs="Times New Roman"/>
                  <w:b/>
                  <w:sz w:val="28"/>
                  <w:szCs w:val="28"/>
                </w:rPr>
                <w:alias w:val="Alcím"/>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BA14E6" w:rsidRPr="00BA14E6" w:rsidRDefault="00012AAE" w:rsidP="00012AAE">
                    <w:pPr>
                      <w:pStyle w:val="Nincstrkz"/>
                      <w:spacing w:after="240" w:line="360" w:lineRule="auto"/>
                      <w:jc w:val="center"/>
                      <w:rPr>
                        <w:rFonts w:asciiTheme="majorHAnsi" w:eastAsiaTheme="majorEastAsia" w:hAnsiTheme="majorHAnsi" w:cstheme="majorBidi"/>
                        <w:b/>
                        <w:sz w:val="44"/>
                        <w:szCs w:val="44"/>
                      </w:rPr>
                    </w:pPr>
                    <w:r>
                      <w:rPr>
                        <w:rFonts w:ascii="Times New Roman" w:hAnsi="Times New Roman" w:cs="Times New Roman"/>
                        <w:b/>
                        <w:sz w:val="28"/>
                        <w:szCs w:val="28"/>
                      </w:rPr>
                      <w:t>Beszámoló</w:t>
                    </w:r>
                  </w:p>
                </w:tc>
              </w:sdtContent>
            </w:sdt>
          </w:tr>
          <w:tr w:rsidR="00BA14E6">
            <w:trPr>
              <w:trHeight w:val="360"/>
              <w:jc w:val="center"/>
            </w:trPr>
            <w:tc>
              <w:tcPr>
                <w:tcW w:w="5000" w:type="pct"/>
                <w:vAlign w:val="center"/>
              </w:tcPr>
              <w:p w:rsidR="00BA14E6" w:rsidRDefault="00BA14E6" w:rsidP="00F33385">
                <w:pPr>
                  <w:pStyle w:val="Nincstrkz"/>
                  <w:spacing w:after="240" w:line="360" w:lineRule="auto"/>
                  <w:jc w:val="center"/>
                </w:pPr>
              </w:p>
            </w:tc>
          </w:tr>
          <w:tr w:rsidR="00BA14E6" w:rsidTr="00AE24FE">
            <w:trPr>
              <w:trHeight w:val="522"/>
              <w:jc w:val="center"/>
            </w:trPr>
            <w:sdt>
              <w:sdtPr>
                <w:rPr>
                  <w:rFonts w:ascii="Times New Roman" w:eastAsia="Arial" w:hAnsi="Times New Roman" w:cs="Times New Roman"/>
                  <w:b/>
                  <w:color w:val="000000"/>
                  <w:sz w:val="40"/>
                  <w:szCs w:val="40"/>
                </w:rPr>
                <w:alias w:val="Szerző"/>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BA14E6" w:rsidRDefault="00BA14E6" w:rsidP="00F33385">
                    <w:pPr>
                      <w:pStyle w:val="Nincstrkz"/>
                      <w:spacing w:after="240" w:line="360" w:lineRule="auto"/>
                      <w:jc w:val="center"/>
                      <w:rPr>
                        <w:b/>
                        <w:bCs/>
                      </w:rPr>
                    </w:pPr>
                    <w:r w:rsidRPr="00BA14E6">
                      <w:rPr>
                        <w:rFonts w:ascii="Times New Roman" w:eastAsia="Arial" w:hAnsi="Times New Roman" w:cs="Times New Roman"/>
                        <w:b/>
                        <w:color w:val="000000"/>
                        <w:sz w:val="40"/>
                        <w:szCs w:val="40"/>
                      </w:rPr>
                      <w:t>Béni Kornél</w:t>
                    </w:r>
                  </w:p>
                </w:tc>
              </w:sdtContent>
            </w:sdt>
          </w:tr>
          <w:tr w:rsidR="00BA14E6">
            <w:trPr>
              <w:trHeight w:val="360"/>
              <w:jc w:val="center"/>
            </w:trPr>
            <w:tc>
              <w:tcPr>
                <w:tcW w:w="5000" w:type="pct"/>
                <w:vAlign w:val="center"/>
              </w:tcPr>
              <w:p w:rsidR="00BA14E6" w:rsidRPr="008A0950" w:rsidRDefault="008A0950" w:rsidP="00F33385">
                <w:pPr>
                  <w:pStyle w:val="Nincstrkz"/>
                  <w:spacing w:after="240" w:line="360" w:lineRule="auto"/>
                  <w:jc w:val="center"/>
                  <w:rPr>
                    <w:rFonts w:ascii="Times New Roman" w:hAnsi="Times New Roman" w:cs="Times New Roman"/>
                    <w:b/>
                    <w:bCs/>
                    <w:sz w:val="24"/>
                    <w:szCs w:val="24"/>
                  </w:rPr>
                </w:pPr>
                <w:r w:rsidRPr="008A0950">
                  <w:rPr>
                    <w:rFonts w:ascii="Times New Roman" w:hAnsi="Times New Roman" w:cs="Times New Roman"/>
                    <w:b/>
                    <w:bCs/>
                    <w:sz w:val="24"/>
                    <w:szCs w:val="24"/>
                  </w:rPr>
                  <w:t>2013. február 12. – 2013. július 1.</w:t>
                </w:r>
              </w:p>
            </w:tc>
          </w:tr>
        </w:tbl>
        <w:p w:rsidR="00BA14E6" w:rsidRDefault="00AE24FE" w:rsidP="00F33385">
          <w:pPr>
            <w:spacing w:after="240" w:line="360" w:lineRule="auto"/>
            <w:jc w:val="center"/>
            <w:rPr>
              <w:lang w:val="hu-HU"/>
            </w:rPr>
          </w:pPr>
          <w:r w:rsidRPr="00AE24FE">
            <w:rPr>
              <w:noProof/>
              <w:lang w:val="hu-HU" w:eastAsia="hu-HU"/>
            </w:rPr>
            <w:drawing>
              <wp:inline distT="0" distB="0" distL="0" distR="0">
                <wp:extent cx="2419350" cy="2419350"/>
                <wp:effectExtent l="19050" t="0" r="0" b="0"/>
                <wp:docPr id="7" name="Kép 3" descr="elte_cimer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e_cimer_szines.jpg"/>
                        <pic:cNvPicPr/>
                      </pic:nvPicPr>
                      <pic:blipFill>
                        <a:blip r:embed="rId8" cstate="print"/>
                        <a:stretch>
                          <a:fillRect/>
                        </a:stretch>
                      </pic:blipFill>
                      <pic:spPr>
                        <a:xfrm>
                          <a:off x="0" y="0"/>
                          <a:ext cx="2419350" cy="2419350"/>
                        </a:xfrm>
                        <a:prstGeom prst="rect">
                          <a:avLst/>
                        </a:prstGeom>
                      </pic:spPr>
                    </pic:pic>
                  </a:graphicData>
                </a:graphic>
              </wp:inline>
            </w:drawing>
          </w:r>
        </w:p>
        <w:p w:rsidR="00012AAE" w:rsidRDefault="00012AAE" w:rsidP="00F33385">
          <w:pPr>
            <w:spacing w:after="120" w:line="360" w:lineRule="auto"/>
            <w:jc w:val="center"/>
            <w:rPr>
              <w:rFonts w:ascii="Times New Roman" w:eastAsia="Arial" w:hAnsi="Times New Roman" w:cs="Times New Roman"/>
              <w:color w:val="000000"/>
            </w:rPr>
          </w:pPr>
        </w:p>
        <w:p w:rsidR="00012AAE" w:rsidRDefault="00012AAE" w:rsidP="00012AAE">
          <w:pPr>
            <w:spacing w:after="120" w:line="360" w:lineRule="auto"/>
            <w:jc w:val="center"/>
            <w:rPr>
              <w:rFonts w:ascii="Times New Roman" w:eastAsia="Arial" w:hAnsi="Times New Roman" w:cs="Times New Roman"/>
              <w:color w:val="000000"/>
            </w:rPr>
          </w:pPr>
        </w:p>
        <w:p w:rsidR="008A0950" w:rsidRDefault="008A0950" w:rsidP="00012AAE">
          <w:pPr>
            <w:spacing w:after="120" w:line="360" w:lineRule="auto"/>
            <w:jc w:val="center"/>
            <w:rPr>
              <w:rFonts w:ascii="Times New Roman" w:eastAsia="Arial" w:hAnsi="Times New Roman" w:cs="Times New Roman"/>
              <w:color w:val="000000"/>
            </w:rPr>
          </w:pPr>
        </w:p>
        <w:p w:rsidR="00012AAE" w:rsidRPr="00D63E61" w:rsidRDefault="00012AAE" w:rsidP="00175169">
          <w:pPr>
            <w:spacing w:after="120" w:line="240" w:lineRule="auto"/>
            <w:jc w:val="both"/>
            <w:rPr>
              <w:rFonts w:ascii="Times New Roman" w:eastAsia="Arial" w:hAnsi="Times New Roman" w:cs="Times New Roman"/>
              <w:b/>
              <w:color w:val="000000"/>
              <w:sz w:val="28"/>
              <w:szCs w:val="28"/>
              <w:lang w:val="hu-HU"/>
            </w:rPr>
          </w:pPr>
          <w:r w:rsidRPr="00175169">
            <w:rPr>
              <w:rFonts w:ascii="Times New Roman" w:eastAsia="Arial" w:hAnsi="Times New Roman" w:cs="Times New Roman"/>
              <w:b/>
              <w:color w:val="000000"/>
              <w:sz w:val="28"/>
              <w:szCs w:val="28"/>
            </w:rPr>
            <w:lastRenderedPageBreak/>
            <w:t>Időrendi</w:t>
          </w:r>
          <w:r w:rsidRPr="00D63E61">
            <w:rPr>
              <w:rFonts w:ascii="Times New Roman" w:eastAsia="Arial" w:hAnsi="Times New Roman" w:cs="Times New Roman"/>
              <w:b/>
              <w:color w:val="000000"/>
              <w:sz w:val="28"/>
              <w:szCs w:val="28"/>
              <w:lang w:val="hu-HU"/>
            </w:rPr>
            <w:t xml:space="preserve"> bontás</w:t>
          </w:r>
        </w:p>
      </w:sdtContent>
    </w:sdt>
    <w:bookmarkStart w:id="0" w:name="h.f9niuoed7877" w:colFirst="0" w:colLast="0" w:displacedByCustomXml="prev"/>
    <w:bookmarkEnd w:id="0" w:displacedByCustomXml="prev"/>
    <w:p w:rsidR="00A4140D" w:rsidRDefault="00A4140D" w:rsidP="00175169">
      <w:pPr>
        <w:pStyle w:val="Listaszerbekezds"/>
        <w:numPr>
          <w:ilvl w:val="0"/>
          <w:numId w:val="2"/>
        </w:numPr>
        <w:spacing w:after="120" w:line="240" w:lineRule="auto"/>
        <w:jc w:val="both"/>
        <w:rPr>
          <w:rFonts w:ascii="Times New Roman" w:hAnsi="Times New Roman" w:cs="Times New Roman"/>
          <w:sz w:val="24"/>
          <w:szCs w:val="24"/>
          <w:lang w:val="hu-HU"/>
        </w:rPr>
        <w:sectPr w:rsidR="00A4140D" w:rsidSect="00FA1A3F">
          <w:headerReference w:type="default" r:id="rId9"/>
          <w:footerReference w:type="default" r:id="rId10"/>
          <w:pgSz w:w="12240" w:h="15840"/>
          <w:pgMar w:top="1530" w:right="1440" w:bottom="1440" w:left="1440" w:header="90" w:footer="720" w:gutter="0"/>
          <w:cols w:space="720"/>
          <w:titlePg/>
          <w:docGrid w:linePitch="299"/>
        </w:sectPr>
      </w:pPr>
    </w:p>
    <w:p w:rsidR="00012AAE" w:rsidRPr="00FD0E07" w:rsidRDefault="00012AAE" w:rsidP="00175169">
      <w:pPr>
        <w:pStyle w:val="Listaszerbekezds"/>
        <w:numPr>
          <w:ilvl w:val="0"/>
          <w:numId w:val="2"/>
        </w:numPr>
        <w:spacing w:after="120" w:line="240" w:lineRule="auto"/>
        <w:jc w:val="both"/>
        <w:rPr>
          <w:rFonts w:ascii="Times New Roman" w:hAnsi="Times New Roman" w:cs="Times New Roman"/>
          <w:sz w:val="24"/>
          <w:szCs w:val="24"/>
          <w:lang w:val="hu-HU"/>
        </w:rPr>
      </w:pPr>
      <w:r w:rsidRPr="00D63E61">
        <w:rPr>
          <w:rFonts w:ascii="Times New Roman" w:hAnsi="Times New Roman" w:cs="Times New Roman"/>
          <w:sz w:val="24"/>
          <w:szCs w:val="24"/>
          <w:lang w:val="hu-HU"/>
        </w:rPr>
        <w:lastRenderedPageBreak/>
        <w:t>Február</w:t>
      </w:r>
      <w:r w:rsidRPr="00175169">
        <w:rPr>
          <w:rFonts w:ascii="Times New Roman" w:hAnsi="Times New Roman" w:cs="Times New Roman"/>
          <w:sz w:val="24"/>
          <w:szCs w:val="24"/>
        </w:rPr>
        <w:t xml:space="preserve"> 13. – EHÖK</w:t>
      </w:r>
      <w:r w:rsidRPr="00D63E61">
        <w:rPr>
          <w:rFonts w:ascii="Times New Roman" w:hAnsi="Times New Roman" w:cs="Times New Roman"/>
          <w:sz w:val="24"/>
          <w:szCs w:val="24"/>
          <w:lang w:val="hu-HU"/>
        </w:rPr>
        <w:t xml:space="preserve"> Elnökségi</w:t>
      </w:r>
    </w:p>
    <w:p w:rsidR="00012AAE" w:rsidRPr="00FD0E07" w:rsidRDefault="00012AAE" w:rsidP="00175169">
      <w:pPr>
        <w:pStyle w:val="Listaszerbekezds"/>
        <w:numPr>
          <w:ilvl w:val="0"/>
          <w:numId w:val="2"/>
        </w:numPr>
        <w:spacing w:after="120" w:line="240" w:lineRule="auto"/>
        <w:jc w:val="both"/>
        <w:rPr>
          <w:rFonts w:ascii="Times New Roman" w:hAnsi="Times New Roman" w:cs="Times New Roman"/>
          <w:sz w:val="24"/>
          <w:szCs w:val="24"/>
          <w:lang w:val="hu-HU"/>
        </w:rPr>
      </w:pPr>
      <w:r w:rsidRPr="00FD0E07">
        <w:rPr>
          <w:rFonts w:ascii="Times New Roman" w:hAnsi="Times New Roman" w:cs="Times New Roman"/>
          <w:sz w:val="24"/>
          <w:szCs w:val="24"/>
          <w:lang w:val="hu-HU"/>
        </w:rPr>
        <w:t>Február</w:t>
      </w:r>
      <w:r w:rsidRPr="00175169">
        <w:rPr>
          <w:rFonts w:ascii="Times New Roman" w:hAnsi="Times New Roman" w:cs="Times New Roman"/>
          <w:sz w:val="24"/>
          <w:szCs w:val="24"/>
        </w:rPr>
        <w:t xml:space="preserve"> 15-17. – HÖOK Közgyűlés</w:t>
      </w:r>
    </w:p>
    <w:p w:rsidR="00012AAE" w:rsidRPr="00FD0E07" w:rsidRDefault="00012AAE" w:rsidP="00175169">
      <w:pPr>
        <w:pStyle w:val="Listaszerbekezds"/>
        <w:numPr>
          <w:ilvl w:val="0"/>
          <w:numId w:val="2"/>
        </w:numPr>
        <w:spacing w:after="120" w:line="240" w:lineRule="auto"/>
        <w:jc w:val="both"/>
        <w:rPr>
          <w:rFonts w:ascii="Times New Roman" w:hAnsi="Times New Roman" w:cs="Times New Roman"/>
          <w:sz w:val="24"/>
          <w:szCs w:val="24"/>
          <w:lang w:val="hu-HU"/>
        </w:rPr>
      </w:pPr>
      <w:r w:rsidRPr="00FD0E07">
        <w:rPr>
          <w:rFonts w:ascii="Times New Roman" w:hAnsi="Times New Roman" w:cs="Times New Roman"/>
          <w:sz w:val="24"/>
          <w:szCs w:val="24"/>
          <w:lang w:val="hu-HU"/>
        </w:rPr>
        <w:t>Február</w:t>
      </w:r>
      <w:r w:rsidRPr="00175169">
        <w:rPr>
          <w:rFonts w:ascii="Times New Roman" w:hAnsi="Times New Roman" w:cs="Times New Roman"/>
          <w:sz w:val="24"/>
          <w:szCs w:val="24"/>
        </w:rPr>
        <w:t xml:space="preserve"> 18. –</w:t>
      </w:r>
      <w:r w:rsidRPr="00FD0E07">
        <w:rPr>
          <w:rFonts w:ascii="Times New Roman" w:hAnsi="Times New Roman" w:cs="Times New Roman"/>
          <w:sz w:val="24"/>
          <w:szCs w:val="24"/>
          <w:lang w:val="hu-HU"/>
        </w:rPr>
        <w:t xml:space="preserve">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FD0E07">
        <w:rPr>
          <w:rFonts w:ascii="Times New Roman" w:hAnsi="Times New Roman" w:cs="Times New Roman"/>
          <w:sz w:val="24"/>
          <w:szCs w:val="24"/>
          <w:lang w:val="hu-HU"/>
        </w:rPr>
        <w:t>Február</w:t>
      </w:r>
      <w:r w:rsidRPr="00175169">
        <w:rPr>
          <w:rFonts w:ascii="Times New Roman" w:hAnsi="Times New Roman" w:cs="Times New Roman"/>
          <w:sz w:val="24"/>
          <w:szCs w:val="24"/>
        </w:rPr>
        <w:t xml:space="preserve"> 19. – LEN</w:t>
      </w:r>
      <w:r w:rsidRPr="00FD0E07">
        <w:rPr>
          <w:rFonts w:ascii="Times New Roman" w:hAnsi="Times New Roman" w:cs="Times New Roman"/>
          <w:sz w:val="24"/>
          <w:szCs w:val="24"/>
          <w:lang w:val="hu-HU"/>
        </w:rPr>
        <w:t xml:space="preserve"> költségvetés</w:t>
      </w:r>
      <w:r w:rsidRPr="00175169">
        <w:rPr>
          <w:rFonts w:ascii="Times New Roman" w:hAnsi="Times New Roman" w:cs="Times New Roman"/>
          <w:sz w:val="24"/>
          <w:szCs w:val="24"/>
        </w:rPr>
        <w:t xml:space="preserve"> tárgyalás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19. – „Milyen a jó mentor” előadás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20. – Dékáni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20. – Kari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20.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21. – „Milyen a jó mentor” előadás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21. – TTK HÖK csapatépítő</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25.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25.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26. – LEN költségvetés tárgyalás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27.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27. – Hallgatói fórum</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Február 23. – EHÖK Küldöttgyűlés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4. – Adatvédelmi helyszíni ellenőrzés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4.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6. – LEN megbeszélés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6.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7. – Nedves Est megbeszélés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7. – Mentorképzés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8. – TTK HÖK munkahétvége</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9. – Mentorkirándulás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10. – TTK HÖK munkahétvége</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12. - TTK HÖK Küldöttgyűlés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13 - Kari Költségvetési Bizottság ülés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13 - EHÖK Elnökségi</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18 - Szenátus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18 - Választmány</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20 - Dékáni Tanács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20 - Kari Tanács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lastRenderedPageBreak/>
        <w:t xml:space="preserve">Március 20 - EHÖK Elnökségi </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Március 25 - Választmány</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2 - Választmányi ülés</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3 - EHÖK Elnökségi</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4-7 - HÖOK Vezetőképző</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8 - Választmány</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10 - OHÜB</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10 - EHÖK Elnökségi</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12-14 - TTK HÖK Bevonó tábor</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15 -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15 - TTK HÖK Küldöttgyűlés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17-23 - Mentor szóbeli meghallgatások</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17 - Dékáni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17 - Kari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17 -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22 - Választmány</w:t>
      </w:r>
    </w:p>
    <w:p w:rsidR="00012AAE" w:rsidRPr="00175169" w:rsidRDefault="00012AAE" w:rsidP="00175169">
      <w:pPr>
        <w:pStyle w:val="Listaszerbekezds"/>
        <w:numPr>
          <w:ilvl w:val="0"/>
          <w:numId w:val="2"/>
        </w:numPr>
        <w:spacing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24 -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26-27 - Mentorhétvége</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Április 30 - LEN megbeszélés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5-12 - LEN</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8 - Dékáni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8 - Kari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10 - KolHÖK Küldöttgyűlés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11 - HÖOK Közgyűlés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13 -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15 - OHÜB</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15 -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21 - KolHÖK Küldöttgyűlés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22 -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24 -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Május 29 -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5 -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12 -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13 - TTK Doktorandusz Önkormányzat ügyvivő megbeszélés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14 -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19 - Dékáni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19 - Kari Tanács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lastRenderedPageBreak/>
        <w:t>Június 19 - EHÖK Elnökségi</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20 - TTK HÖK rendezvényes megbeszélés</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24 - Választmány</w:t>
      </w:r>
    </w:p>
    <w:p w:rsidR="00012AAE" w:rsidRPr="00175169"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t>Június 26 - OHÜB</w:t>
      </w:r>
    </w:p>
    <w:p w:rsidR="00012AAE" w:rsidRDefault="00012AAE" w:rsidP="00175169">
      <w:pPr>
        <w:pStyle w:val="Listaszerbekezds"/>
        <w:numPr>
          <w:ilvl w:val="0"/>
          <w:numId w:val="2"/>
        </w:numPr>
        <w:spacing w:after="120" w:line="240" w:lineRule="auto"/>
        <w:jc w:val="both"/>
        <w:rPr>
          <w:rFonts w:ascii="Times New Roman" w:hAnsi="Times New Roman" w:cs="Times New Roman"/>
          <w:sz w:val="24"/>
          <w:szCs w:val="24"/>
        </w:rPr>
      </w:pPr>
      <w:r w:rsidRPr="00175169">
        <w:rPr>
          <w:rFonts w:ascii="Times New Roman" w:hAnsi="Times New Roman" w:cs="Times New Roman"/>
          <w:sz w:val="24"/>
          <w:szCs w:val="24"/>
        </w:rPr>
        <w:lastRenderedPageBreak/>
        <w:t>Június 26 - EHÖK Elnökségi</w:t>
      </w:r>
    </w:p>
    <w:p w:rsidR="00C66802" w:rsidRDefault="00C66802" w:rsidP="00175169">
      <w:pPr>
        <w:pStyle w:val="Listaszerbekezds"/>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Július 1 – EHÖK Küldöttgyűlés</w:t>
      </w:r>
    </w:p>
    <w:p w:rsidR="00C66802" w:rsidRPr="00175169" w:rsidRDefault="00C66802" w:rsidP="00175169">
      <w:pPr>
        <w:pStyle w:val="Listaszerbekezds"/>
        <w:numPr>
          <w:ilvl w:val="0"/>
          <w:numId w:val="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Július 1 - Szenátus</w:t>
      </w:r>
    </w:p>
    <w:p w:rsidR="00A4140D" w:rsidRDefault="00A4140D" w:rsidP="00175169">
      <w:pPr>
        <w:pStyle w:val="Listaszerbekezds"/>
        <w:spacing w:line="360" w:lineRule="auto"/>
        <w:jc w:val="both"/>
        <w:rPr>
          <w:rFonts w:ascii="Times New Roman" w:hAnsi="Times New Roman" w:cs="Times New Roman"/>
          <w:sz w:val="24"/>
          <w:szCs w:val="24"/>
        </w:rPr>
      </w:pPr>
    </w:p>
    <w:p w:rsidR="00C66802" w:rsidRPr="00C66802" w:rsidRDefault="00C66802" w:rsidP="00C66802">
      <w:pPr>
        <w:spacing w:line="360" w:lineRule="auto"/>
        <w:jc w:val="both"/>
        <w:rPr>
          <w:rFonts w:ascii="Times New Roman" w:hAnsi="Times New Roman" w:cs="Times New Roman"/>
          <w:sz w:val="24"/>
          <w:szCs w:val="24"/>
        </w:rPr>
        <w:sectPr w:rsidR="00C66802" w:rsidRPr="00C66802" w:rsidSect="00A4140D">
          <w:type w:val="continuous"/>
          <w:pgSz w:w="12240" w:h="15840"/>
          <w:pgMar w:top="1530" w:right="1440" w:bottom="1440" w:left="1440" w:header="90" w:footer="720" w:gutter="0"/>
          <w:cols w:num="2" w:space="720"/>
          <w:titlePg/>
          <w:docGrid w:linePitch="299"/>
        </w:sectPr>
      </w:pPr>
    </w:p>
    <w:p w:rsidR="00175169" w:rsidRPr="00175169" w:rsidRDefault="00175169" w:rsidP="00175169">
      <w:pPr>
        <w:pStyle w:val="Listaszerbekezds"/>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lastRenderedPageBreak/>
        <w:br/>
        <w:t>A felsoroltakon túl számos megbeszélésen, egyeztetésen vettem részt a TTK HÖK tisztségviselőivel, tisztségviselő jelöltjeivel, a többi Önkormányzat elnökével, valamint a Kar vezetésével.</w:t>
      </w:r>
    </w:p>
    <w:p w:rsidR="00012AAE" w:rsidRPr="00175169" w:rsidRDefault="00012AAE" w:rsidP="00175169">
      <w:pPr>
        <w:spacing w:after="120" w:line="360" w:lineRule="auto"/>
        <w:jc w:val="both"/>
        <w:rPr>
          <w:rFonts w:ascii="Times New Roman" w:hAnsi="Times New Roman" w:cs="Times New Roman"/>
          <w:sz w:val="24"/>
          <w:szCs w:val="24"/>
        </w:rPr>
      </w:pPr>
    </w:p>
    <w:p w:rsidR="00012AAE" w:rsidRPr="00175169" w:rsidRDefault="00012AAE" w:rsidP="00175169">
      <w:pPr>
        <w:pStyle w:val="Cmsor1"/>
        <w:spacing w:after="240" w:line="360" w:lineRule="auto"/>
        <w:jc w:val="both"/>
        <w:rPr>
          <w:rFonts w:ascii="Times New Roman" w:hAnsi="Times New Roman" w:cs="Times New Roman"/>
          <w:sz w:val="24"/>
          <w:szCs w:val="24"/>
        </w:rPr>
      </w:pPr>
    </w:p>
    <w:p w:rsidR="00175169" w:rsidRPr="00175169" w:rsidRDefault="00175169" w:rsidP="00175169">
      <w:pPr>
        <w:spacing w:line="360" w:lineRule="auto"/>
        <w:jc w:val="both"/>
        <w:rPr>
          <w:rFonts w:ascii="Times New Roman" w:hAnsi="Times New Roman" w:cs="Times New Roman"/>
          <w:b/>
          <w:sz w:val="28"/>
          <w:szCs w:val="28"/>
        </w:rPr>
      </w:pPr>
      <w:r w:rsidRPr="00175169">
        <w:rPr>
          <w:rFonts w:ascii="Times New Roman" w:hAnsi="Times New Roman" w:cs="Times New Roman"/>
          <w:b/>
          <w:sz w:val="28"/>
          <w:szCs w:val="28"/>
        </w:rPr>
        <w:t>Szöveges Beszámoló:</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Átadás-átvétel</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megválasztásomat követően az átadás-átvétel gyorsan lezajlott köztem és elődöm között, így hamar belefoghattam az érdemi munkába, melyhez minden segítséget megkaptam, melyet ezúton is köszönök.</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Adatvédelem</w:t>
      </w:r>
    </w:p>
    <w:p w:rsidR="00A4140D"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nyilvánosságra kerülő, gólyatábori résztvevők adatait tartalmazó listák hamar bekerültek a köztudatba. Ennek ere</w:t>
      </w:r>
      <w:r w:rsidR="00FD0E07">
        <w:rPr>
          <w:rFonts w:ascii="Times New Roman" w:hAnsi="Times New Roman" w:cs="Times New Roman"/>
          <w:sz w:val="24"/>
          <w:szCs w:val="24"/>
        </w:rPr>
        <w:t>d</w:t>
      </w:r>
      <w:r w:rsidRPr="00175169">
        <w:rPr>
          <w:rFonts w:ascii="Times New Roman" w:hAnsi="Times New Roman" w:cs="Times New Roman"/>
          <w:sz w:val="24"/>
          <w:szCs w:val="24"/>
        </w:rPr>
        <w:t>ményeképp megkérdőjeleződött a HÖK-ök adatkezelésének a biztonsága, amely eredménye egy átfogó ellenőrzés elrendelése lett. Az ellenőrzés kiterjedt a személyes és különleges adatok kezelésére, a HÖK irodáinak és raktárainak megközelíthetőségére, az informatikai biztonságra, a gólyatáborok szervezési körülményeire de még a HÖK egyéb, adatkezeléshez nem szorosan kötődő működési folyamataira is. Az ellenőrzéshez szükséges anyagok elkészítése igen sok munkával járt, ezúton is köszönöm mindenkinek aki közreműködött benne. Az ellenőrzés közben számos pozitív visszajelzést kaptunk, azonban adódtak hiányosságok is. Ezeket a hiányosságokat egy intézkedési tervben foglalt módon korrigáljuk, az intézkedési tervet a Rektori Ellenőrzési Önálló Osztály támogatta, Rektor Úr elfogadta. Az intézkedési tervben foglaltak teljesítése eddig jórészt megvalósult.</w:t>
      </w:r>
    </w:p>
    <w:p w:rsidR="00175169" w:rsidRPr="00175169" w:rsidRDefault="00175169" w:rsidP="00175169">
      <w:pPr>
        <w:spacing w:line="360" w:lineRule="auto"/>
        <w:jc w:val="both"/>
        <w:rPr>
          <w:rFonts w:ascii="Times New Roman" w:hAnsi="Times New Roman" w:cs="Times New Roman"/>
          <w:sz w:val="24"/>
          <w:szCs w:val="24"/>
        </w:rPr>
      </w:pP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Transzparencia</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Az átláthatóság, a transzparens működés (különös tekintettel a gazdasági és ösztöndíjakat érintő kérdésekre) a rendszeres közérdekű adatigényléseken túl is fontos kérdés, melyben a TTK HÖK élen jár, ezt a nemrég megjelent ELTE Online cikk csak megerősíti. A KHTEÖ a törvényi kereteket betartva nyilvános és mindenki számára véleményezhető, az éves gazdasági beszámoló részletes és nyilvános. A tisztségviselők rendszeres közéleti ösztöndíjainak maximális összege nyilvános, alapszabályban rögzített. A különböző ösztöndíjak bírálásának metódusa szintén nyilvános, magyarázattal együtt megtekinthető a honlapon.</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Kiemelkedő Hallgatói Teljesítmény Egyszeri Ösztöndíja</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KHTEÖ a jutalomkeret pályázat utódja. Új pályázati kiírást fogadott el a Küldöttgyűlés, a pályázat leadása jelentősen egyszerűsödött, online lebonyolítható az első pályázást megelőző nyilatkozattételt követően. A pályázatok ennek megfelelően könnyedén véleményezhetőek bárki számára.</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Oktatásszervezési ügyek</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Jövőre bevezetésre kerül az E-index. Az ezzel kapcsolatos egyeztetések és előkészítő munkák aktív hallgatói részvétellel történtek, hallgatóbarát konstrukció alakult ki. A jövőben sok problémától fog mentesíteni mindenkit az E-index.</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jövőre induló osztatlan tanárképzéssel kapcsolatban még mindig sok nyitott kérdés áll fenn. A lényegesen eltérő álláspontok azonban konvergálni látszanak.</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Képzések</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TTK HÖK bevonó tábora megnyugtatóan sok résztvevővel került lebonyolításra, eredményes szakmai munka zajlott a hétvégén.</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 xml:space="preserve">Az önképző hétvége a létszámot tekintve nem mondható ennyire sikeresnek, köszönhető ez a szorgalmi időszak végére összesűrűsödő programoknak, ami a hétvége elnapolására kényszerített minket. Így a vizsgaidőszak második hétvégéjén megrendezésre kerülő önképző hétvége a </w:t>
      </w:r>
      <w:r w:rsidRPr="00175169">
        <w:rPr>
          <w:rFonts w:ascii="Times New Roman" w:hAnsi="Times New Roman" w:cs="Times New Roman"/>
          <w:sz w:val="24"/>
          <w:szCs w:val="24"/>
        </w:rPr>
        <w:lastRenderedPageBreak/>
        <w:t>vártnál kisebb létszámmal, de hasznos operatív munkával, a képviselőválasztáson újonnan megválasztott képviselők bevonásával zajlott le.</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mentorképzés többé-kevésbé a tervezettnek megfelelően halad. A szóbeli meghallgatásokra vonatkozó szabályok értelmezéséből, és azok lebonyolításából adódtak problémák. Szerencsére ezek nem befolyásolják a mentorok szakmai fejlődését.</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Új Alapszabály</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TTK HÖK új alapszabálya az április 15-i Szenátust követően lépett hatályba. Ezzel változott a Küldöttgyűlés összetétele, szakterületenként hallgatólétszám alapján arányosítva. Új tisztségek születtek, valamint nem utolsó sorban a tisztségviselők maximális rendszeres közéleti ösztöndíjainak összege módosult, döntően csökkenő irányba.</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Képviselőválasztás</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következő képviselői ciklusra voatkozó Küldöttgyűlési képviselőválasztás 28,22%-os részvételi aránnyal volt érvényes és eredményes. A választási időszak meghosszab</w:t>
      </w:r>
      <w:r w:rsidR="00FD0E07">
        <w:rPr>
          <w:rFonts w:ascii="Times New Roman" w:hAnsi="Times New Roman" w:cs="Times New Roman"/>
          <w:sz w:val="24"/>
          <w:szCs w:val="24"/>
        </w:rPr>
        <w:t>b</w:t>
      </w:r>
      <w:r w:rsidRPr="00175169">
        <w:rPr>
          <w:rFonts w:ascii="Times New Roman" w:hAnsi="Times New Roman" w:cs="Times New Roman"/>
          <w:sz w:val="24"/>
          <w:szCs w:val="24"/>
        </w:rPr>
        <w:t>ításra szorult, és az aktív kommunikációi is az ideálisnál később kezdődött el. Ennek ellenére a részvételi arány kielégítőnek mondható.</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Rendezvényszervezés</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 hallgatói rendezvényszervezés mikéntje az egyetemvezetés körében is sokáig nyitott kérdés volt. Nem volt tisztázott, hogy közbeszerzéses, vagy kivételi körös megbízási szerződéses konstrukció alkalmazható-e. Többek között ennek köszönhető a Nedves Est elmaradása is. A szakos rendezvények és a LEN lebonyolítása megvalósult, sikeres rendezvényeket tudhatunk magunk mögött.</w:t>
      </w:r>
    </w:p>
    <w:p w:rsidR="00175169" w:rsidRPr="00175169" w:rsidRDefault="00175169" w:rsidP="00175169">
      <w:pPr>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Költségvetési hiány</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Az EHÖK költségvetése a várakozásokkal ellentétben nem került kiegészítésre, így minden költésünket szüneteltetni kellett. Ez a mentortábort érintheti súlyosan.</w:t>
      </w:r>
    </w:p>
    <w:p w:rsidR="00175169" w:rsidRPr="00175169" w:rsidRDefault="00175169" w:rsidP="00175169">
      <w:pPr>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 xml:space="preserve">A gólyatáborok szervezése folyamatban van, ráfordítható működési költség nélkül nincs szükség közbeszerzési eljárás lebonyolítására, amely jelentősen megkönnyítheti a szervezést, és nem teszi </w:t>
      </w:r>
      <w:r w:rsidRPr="00175169">
        <w:rPr>
          <w:rFonts w:ascii="Times New Roman" w:hAnsi="Times New Roman" w:cs="Times New Roman"/>
          <w:sz w:val="24"/>
          <w:szCs w:val="24"/>
        </w:rPr>
        <w:lastRenderedPageBreak/>
        <w:t>függővé a tábor sorsát a közbeszerzési eljárástól, és a rendelkezésre álló HÖK költségvetéstől. Az ilyen módon történ</w:t>
      </w:r>
      <w:r w:rsidR="00C304FF">
        <w:rPr>
          <w:rFonts w:ascii="Times New Roman" w:hAnsi="Times New Roman" w:cs="Times New Roman"/>
          <w:sz w:val="24"/>
          <w:szCs w:val="24"/>
        </w:rPr>
        <w:t>ő</w:t>
      </w:r>
      <w:r w:rsidRPr="00175169">
        <w:rPr>
          <w:rFonts w:ascii="Times New Roman" w:hAnsi="Times New Roman" w:cs="Times New Roman"/>
          <w:sz w:val="24"/>
          <w:szCs w:val="24"/>
        </w:rPr>
        <w:t xml:space="preserve"> gólyatábor servezéssel kapcsolat</w:t>
      </w:r>
      <w:r w:rsidR="00A4140D">
        <w:rPr>
          <w:rFonts w:ascii="Times New Roman" w:hAnsi="Times New Roman" w:cs="Times New Roman"/>
          <w:sz w:val="24"/>
          <w:szCs w:val="24"/>
        </w:rPr>
        <w:t>ban több egyeztetést is folytat</w:t>
      </w:r>
      <w:r w:rsidRPr="00175169">
        <w:rPr>
          <w:rFonts w:ascii="Times New Roman" w:hAnsi="Times New Roman" w:cs="Times New Roman"/>
          <w:sz w:val="24"/>
          <w:szCs w:val="24"/>
        </w:rPr>
        <w:t>unk, többek között Dr. Rónay Zoltán főtitkár úrral.</w:t>
      </w:r>
    </w:p>
    <w:p w:rsidR="00175169" w:rsidRDefault="00175169">
      <w:pPr>
        <w:rPr>
          <w:rFonts w:ascii="Times New Roman" w:eastAsia="Arial" w:hAnsi="Times New Roman" w:cs="Times New Roman"/>
          <w:color w:val="000000"/>
          <w:sz w:val="24"/>
          <w:szCs w:val="24"/>
        </w:rPr>
      </w:pPr>
    </w:p>
    <w:p w:rsidR="00175169" w:rsidRPr="00175169" w:rsidRDefault="00175169" w:rsidP="00175169">
      <w:pPr>
        <w:pStyle w:val="normal"/>
        <w:spacing w:line="360" w:lineRule="auto"/>
        <w:jc w:val="both"/>
        <w:rPr>
          <w:rFonts w:ascii="Times New Roman" w:hAnsi="Times New Roman" w:cs="Times New Roman"/>
          <w:b/>
          <w:sz w:val="24"/>
          <w:szCs w:val="24"/>
        </w:rPr>
      </w:pPr>
      <w:r w:rsidRPr="00175169">
        <w:rPr>
          <w:rFonts w:ascii="Times New Roman" w:hAnsi="Times New Roman" w:cs="Times New Roman"/>
          <w:b/>
          <w:sz w:val="24"/>
          <w:szCs w:val="24"/>
        </w:rPr>
        <w:t>Záró gondolatok</w:t>
      </w:r>
    </w:p>
    <w:p w:rsidR="00175169" w:rsidRPr="00175169" w:rsidRDefault="00175169" w:rsidP="00175169">
      <w:pPr>
        <w:pStyle w:val="normal"/>
        <w:spacing w:line="360" w:lineRule="auto"/>
        <w:jc w:val="both"/>
        <w:rPr>
          <w:rFonts w:ascii="Times New Roman" w:hAnsi="Times New Roman" w:cs="Times New Roman"/>
          <w:sz w:val="24"/>
          <w:szCs w:val="24"/>
        </w:rPr>
      </w:pPr>
    </w:p>
    <w:p w:rsidR="00175169" w:rsidRPr="00175169" w:rsidRDefault="00175169" w:rsidP="00175169">
      <w:pPr>
        <w:pStyle w:val="normal"/>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Ezúton is szeretném mindenkinek megköszönni az éves kitartó munkáját, mind a döntéshozásban, mind az operatív jellegű feladatok esetében. Kívánok a jövőre nézve is sok eredményt, akár a Hallgatói Önkormányzaton belül, akár azo kívül.</w:t>
      </w:r>
    </w:p>
    <w:p w:rsidR="00175169" w:rsidRPr="00175169" w:rsidRDefault="00175169" w:rsidP="00175169">
      <w:pPr>
        <w:pStyle w:val="normal"/>
        <w:spacing w:line="360" w:lineRule="auto"/>
        <w:jc w:val="both"/>
        <w:rPr>
          <w:rFonts w:ascii="Times New Roman" w:hAnsi="Times New Roman" w:cs="Times New Roman"/>
          <w:sz w:val="24"/>
          <w:szCs w:val="24"/>
        </w:rPr>
      </w:pPr>
    </w:p>
    <w:p w:rsidR="00175169" w:rsidRPr="00175169" w:rsidRDefault="00175169" w:rsidP="00175169">
      <w:pPr>
        <w:pStyle w:val="normal"/>
        <w:spacing w:line="360" w:lineRule="auto"/>
        <w:jc w:val="both"/>
        <w:rPr>
          <w:rFonts w:ascii="Times New Roman" w:hAnsi="Times New Roman" w:cs="Times New Roman"/>
          <w:sz w:val="24"/>
          <w:szCs w:val="24"/>
        </w:rPr>
      </w:pPr>
      <w:r w:rsidRPr="00175169">
        <w:rPr>
          <w:rFonts w:ascii="Times New Roman" w:hAnsi="Times New Roman" w:cs="Times New Roman"/>
          <w:sz w:val="24"/>
          <w:szCs w:val="24"/>
        </w:rPr>
        <w:t>Köszönöm, hogy elolvastad a beszámolóm, bármilyen kérdést szívesen fogadok akár személyesen, email-en vagy telefonon.</w:t>
      </w:r>
    </w:p>
    <w:p w:rsidR="00012AAE" w:rsidRPr="00175169" w:rsidRDefault="00012AAE" w:rsidP="00175169">
      <w:pPr>
        <w:pStyle w:val="Cmsor1"/>
        <w:spacing w:after="240" w:line="360" w:lineRule="auto"/>
        <w:jc w:val="both"/>
        <w:rPr>
          <w:rFonts w:ascii="Times New Roman" w:hAnsi="Times New Roman" w:cs="Times New Roman"/>
          <w:sz w:val="24"/>
          <w:szCs w:val="24"/>
        </w:rPr>
      </w:pPr>
    </w:p>
    <w:p w:rsidR="00E76801" w:rsidRPr="00175169" w:rsidRDefault="00FA28D1" w:rsidP="00175169">
      <w:pPr>
        <w:pStyle w:val="normal"/>
        <w:spacing w:after="240" w:line="360" w:lineRule="auto"/>
        <w:jc w:val="both"/>
        <w:rPr>
          <w:rFonts w:ascii="Times New Roman" w:hAnsi="Times New Roman" w:cs="Times New Roman"/>
          <w:sz w:val="24"/>
          <w:szCs w:val="24"/>
        </w:rPr>
      </w:pPr>
      <w:r w:rsidRPr="00175169">
        <w:rPr>
          <w:rFonts w:ascii="Times New Roman" w:hAnsi="Times New Roman" w:cs="Times New Roman"/>
          <w:sz w:val="24"/>
          <w:szCs w:val="24"/>
        </w:rPr>
        <w:t xml:space="preserve">Budapest, 2013. </w:t>
      </w:r>
      <w:r w:rsidR="008A0950">
        <w:rPr>
          <w:rFonts w:ascii="Times New Roman" w:hAnsi="Times New Roman" w:cs="Times New Roman"/>
          <w:sz w:val="24"/>
          <w:szCs w:val="24"/>
        </w:rPr>
        <w:t>július 1.</w:t>
      </w:r>
    </w:p>
    <w:p w:rsidR="00E76801" w:rsidRPr="00175169" w:rsidRDefault="00AC3CC7" w:rsidP="00175169">
      <w:pPr>
        <w:pStyle w:val="normal"/>
        <w:spacing w:after="240" w:line="360" w:lineRule="auto"/>
        <w:jc w:val="right"/>
        <w:rPr>
          <w:rFonts w:ascii="Times New Roman" w:hAnsi="Times New Roman" w:cs="Times New Roman"/>
          <w:sz w:val="24"/>
          <w:szCs w:val="24"/>
        </w:rPr>
      </w:pPr>
      <w:r w:rsidRPr="00175169">
        <w:rPr>
          <w:rFonts w:ascii="Times New Roman" w:hAnsi="Times New Roman" w:cs="Times New Roman"/>
          <w:sz w:val="24"/>
          <w:szCs w:val="24"/>
        </w:rPr>
        <w:t>Béni Kornél</w:t>
      </w:r>
      <w:r w:rsidR="00FA28D1" w:rsidRPr="00175169">
        <w:rPr>
          <w:rFonts w:ascii="Times New Roman" w:hAnsi="Times New Roman" w:cs="Times New Roman"/>
          <w:sz w:val="24"/>
          <w:szCs w:val="24"/>
        </w:rPr>
        <w:br/>
      </w:r>
      <w:r w:rsidR="00175169" w:rsidRPr="00175169">
        <w:rPr>
          <w:rFonts w:ascii="Times New Roman" w:hAnsi="Times New Roman" w:cs="Times New Roman"/>
          <w:sz w:val="24"/>
          <w:szCs w:val="24"/>
        </w:rPr>
        <w:t>elnok</w:t>
      </w:r>
      <w:r w:rsidR="00FA28D1" w:rsidRPr="00175169">
        <w:rPr>
          <w:rFonts w:ascii="Times New Roman" w:hAnsi="Times New Roman" w:cs="Times New Roman"/>
          <w:sz w:val="24"/>
          <w:szCs w:val="24"/>
        </w:rPr>
        <w:t>@ttkhok.elte.hu</w:t>
      </w:r>
      <w:r w:rsidR="00FA28D1" w:rsidRPr="00175169">
        <w:rPr>
          <w:rFonts w:ascii="Times New Roman" w:hAnsi="Times New Roman" w:cs="Times New Roman"/>
          <w:sz w:val="24"/>
          <w:szCs w:val="24"/>
        </w:rPr>
        <w:br/>
        <w:t>06/20 - 9115913</w:t>
      </w:r>
    </w:p>
    <w:sectPr w:rsidR="00E76801" w:rsidRPr="00175169" w:rsidSect="00A4140D">
      <w:type w:val="continuous"/>
      <w:pgSz w:w="12240" w:h="15840"/>
      <w:pgMar w:top="1530" w:right="1440" w:bottom="1440" w:left="1440" w:header="9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096" w:rsidRDefault="00852096" w:rsidP="00E76801">
      <w:pPr>
        <w:spacing w:after="0" w:line="240" w:lineRule="auto"/>
      </w:pPr>
      <w:r>
        <w:separator/>
      </w:r>
    </w:p>
  </w:endnote>
  <w:endnote w:type="continuationSeparator" w:id="1">
    <w:p w:rsidR="00852096" w:rsidRDefault="00852096" w:rsidP="00E7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6230"/>
      <w:docPartObj>
        <w:docPartGallery w:val="Page Numbers (Bottom of Page)"/>
        <w:docPartUnique/>
      </w:docPartObj>
    </w:sdtPr>
    <w:sdtContent>
      <w:p w:rsidR="00FA28D1" w:rsidRDefault="00A776C3">
        <w:pPr>
          <w:pStyle w:val="llb"/>
          <w:jc w:val="center"/>
        </w:pPr>
        <w:fldSimple w:instr=" PAGE   \* MERGEFORMAT ">
          <w:r w:rsidR="008A0950">
            <w:rPr>
              <w:noProof/>
            </w:rPr>
            <w:t>6</w:t>
          </w:r>
        </w:fldSimple>
      </w:p>
    </w:sdtContent>
  </w:sdt>
  <w:p w:rsidR="00F0602B" w:rsidRDefault="00A776C3">
    <w:pPr>
      <w:pStyle w:val="llb"/>
    </w:pPr>
    <w:r w:rsidRPr="00A776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92586" o:spid="_x0000_s2057" type="#_x0000_t75" style="position:absolute;margin-left:186.7pt;margin-top:507.25pt;width:400.5pt;height:311.75pt;z-index:-251658752;mso-position-horizontal-relative:margin;mso-position-vertical-relative:margin" o:allowincell="f">
          <v:imagedata r:id="rId1" o:title="ttk_hok" gain="28836f" blacklevel="14418f"/>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096" w:rsidRDefault="00852096" w:rsidP="00E76801">
      <w:pPr>
        <w:spacing w:after="0" w:line="240" w:lineRule="auto"/>
      </w:pPr>
      <w:r>
        <w:separator/>
      </w:r>
    </w:p>
  </w:footnote>
  <w:footnote w:type="continuationSeparator" w:id="1">
    <w:p w:rsidR="00852096" w:rsidRDefault="00852096" w:rsidP="00E76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801" w:rsidRPr="00BA14E6" w:rsidRDefault="00BA14E6" w:rsidP="00BA14E6">
    <w:pPr>
      <w:pStyle w:val="normal"/>
      <w:tabs>
        <w:tab w:val="left" w:pos="180"/>
        <w:tab w:val="left" w:pos="270"/>
        <w:tab w:val="right" w:pos="10439"/>
      </w:tabs>
      <w:spacing w:after="120"/>
      <w:ind w:left="-720" w:right="-1080"/>
      <w:jc w:val="center"/>
      <w:rPr>
        <w:b/>
        <w:color w:val="000000" w:themeColor="text1"/>
      </w:rPr>
    </w:pPr>
    <w:r w:rsidRPr="00BA14E6">
      <w:rPr>
        <w:b/>
        <w:color w:val="000000" w:themeColor="text1"/>
      </w:rPr>
      <w:t>Eötvös Loránd Tudományegyetem Természettudományi Kar</w:t>
    </w:r>
    <w:r>
      <w:rPr>
        <w:b/>
        <w:color w:val="000000" w:themeColor="text1"/>
      </w:rPr>
      <w:t xml:space="preserve"> Hallgatói Önkormányzat</w:t>
    </w:r>
    <w:r>
      <w:rPr>
        <w:b/>
        <w:color w:val="000000" w:themeColor="text1"/>
      </w:rPr>
      <w:br/>
    </w:r>
    <w:r w:rsidR="00175169">
      <w:rPr>
        <w:b/>
        <w:color w:val="000000" w:themeColor="text1"/>
      </w:rPr>
      <w:t>Éves elnöki beszámoló</w:t>
    </w:r>
    <w:r w:rsidRPr="00BA14E6">
      <w:rPr>
        <w:b/>
        <w:color w:val="000000" w:themeColor="text1"/>
      </w:rPr>
      <w:br/>
      <w:t>Béni Kornél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6A2"/>
    <w:multiLevelType w:val="hybridMultilevel"/>
    <w:tmpl w:val="E098C5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78E5247"/>
    <w:multiLevelType w:val="multilevel"/>
    <w:tmpl w:val="8C3669BE"/>
    <w:lvl w:ilvl="0">
      <w:start w:val="1"/>
      <w:numFmt w:val="decimal"/>
      <w:lvlText w:val="%1."/>
      <w:lvlJc w:val="left"/>
      <w:pPr>
        <w:ind w:left="720" w:firstLine="36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11266">
      <o:colormenu v:ext="edit" fillcolor="none [660]"/>
    </o:shapedefaults>
    <o:shapelayout v:ext="edit">
      <o:idmap v:ext="edit" data="2"/>
    </o:shapelayout>
  </w:hdrShapeDefaults>
  <w:footnotePr>
    <w:footnote w:id="0"/>
    <w:footnote w:id="1"/>
  </w:footnotePr>
  <w:endnotePr>
    <w:endnote w:id="0"/>
    <w:endnote w:id="1"/>
  </w:endnotePr>
  <w:compat>
    <w:useFELayout/>
  </w:compat>
  <w:rsids>
    <w:rsidRoot w:val="00E76801"/>
    <w:rsid w:val="00012AAE"/>
    <w:rsid w:val="00175169"/>
    <w:rsid w:val="00852096"/>
    <w:rsid w:val="008A0950"/>
    <w:rsid w:val="00A4140D"/>
    <w:rsid w:val="00A776C3"/>
    <w:rsid w:val="00AC3CC7"/>
    <w:rsid w:val="00AE24FE"/>
    <w:rsid w:val="00BA14E6"/>
    <w:rsid w:val="00BE2BAC"/>
    <w:rsid w:val="00C304FF"/>
    <w:rsid w:val="00C36AF2"/>
    <w:rsid w:val="00C66802"/>
    <w:rsid w:val="00D63E61"/>
    <w:rsid w:val="00D86487"/>
    <w:rsid w:val="00DA2F5F"/>
    <w:rsid w:val="00E76801"/>
    <w:rsid w:val="00EA6C93"/>
    <w:rsid w:val="00EE28A8"/>
    <w:rsid w:val="00EE7D35"/>
    <w:rsid w:val="00F0602B"/>
    <w:rsid w:val="00F33385"/>
    <w:rsid w:val="00FA1A3F"/>
    <w:rsid w:val="00FA28D1"/>
    <w:rsid w:val="00FD0E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E28A8"/>
  </w:style>
  <w:style w:type="paragraph" w:styleId="Cmsor1">
    <w:name w:val="heading 1"/>
    <w:basedOn w:val="normal"/>
    <w:next w:val="normal"/>
    <w:rsid w:val="00E76801"/>
    <w:pPr>
      <w:spacing w:before="200"/>
      <w:outlineLvl w:val="0"/>
    </w:pPr>
    <w:rPr>
      <w:rFonts w:ascii="Trebuchet MS" w:eastAsia="Trebuchet MS" w:hAnsi="Trebuchet MS" w:cs="Trebuchet MS"/>
      <w:sz w:val="32"/>
    </w:rPr>
  </w:style>
  <w:style w:type="paragraph" w:styleId="Cmsor2">
    <w:name w:val="heading 2"/>
    <w:basedOn w:val="normal"/>
    <w:next w:val="normal"/>
    <w:rsid w:val="00E76801"/>
    <w:pPr>
      <w:spacing w:before="200"/>
      <w:outlineLvl w:val="1"/>
    </w:pPr>
    <w:rPr>
      <w:rFonts w:ascii="Trebuchet MS" w:eastAsia="Trebuchet MS" w:hAnsi="Trebuchet MS" w:cs="Trebuchet MS"/>
      <w:b/>
      <w:sz w:val="26"/>
    </w:rPr>
  </w:style>
  <w:style w:type="paragraph" w:styleId="Cmsor3">
    <w:name w:val="heading 3"/>
    <w:basedOn w:val="normal"/>
    <w:next w:val="normal"/>
    <w:rsid w:val="00E76801"/>
    <w:pPr>
      <w:spacing w:before="160"/>
      <w:outlineLvl w:val="2"/>
    </w:pPr>
    <w:rPr>
      <w:rFonts w:ascii="Trebuchet MS" w:eastAsia="Trebuchet MS" w:hAnsi="Trebuchet MS" w:cs="Trebuchet MS"/>
      <w:b/>
      <w:color w:val="666666"/>
      <w:sz w:val="24"/>
    </w:rPr>
  </w:style>
  <w:style w:type="paragraph" w:styleId="Cmsor4">
    <w:name w:val="heading 4"/>
    <w:basedOn w:val="normal"/>
    <w:next w:val="normal"/>
    <w:rsid w:val="00E76801"/>
    <w:pPr>
      <w:spacing w:before="160"/>
      <w:outlineLvl w:val="3"/>
    </w:pPr>
    <w:rPr>
      <w:rFonts w:ascii="Trebuchet MS" w:eastAsia="Trebuchet MS" w:hAnsi="Trebuchet MS" w:cs="Trebuchet MS"/>
      <w:color w:val="666666"/>
      <w:u w:val="single"/>
    </w:rPr>
  </w:style>
  <w:style w:type="paragraph" w:styleId="Cmsor5">
    <w:name w:val="heading 5"/>
    <w:basedOn w:val="normal"/>
    <w:next w:val="normal"/>
    <w:rsid w:val="00E76801"/>
    <w:pPr>
      <w:spacing w:before="160"/>
      <w:outlineLvl w:val="4"/>
    </w:pPr>
    <w:rPr>
      <w:rFonts w:ascii="Trebuchet MS" w:eastAsia="Trebuchet MS" w:hAnsi="Trebuchet MS" w:cs="Trebuchet MS"/>
      <w:color w:val="666666"/>
    </w:rPr>
  </w:style>
  <w:style w:type="paragraph" w:styleId="Cmsor6">
    <w:name w:val="heading 6"/>
    <w:basedOn w:val="normal"/>
    <w:next w:val="normal"/>
    <w:rsid w:val="00E76801"/>
    <w:pPr>
      <w:spacing w:before="160"/>
      <w:outlineLvl w:val="5"/>
    </w:pPr>
    <w:rPr>
      <w:rFonts w:ascii="Trebuchet MS" w:eastAsia="Trebuchet MS" w:hAnsi="Trebuchet MS" w:cs="Trebuchet MS"/>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E76801"/>
    <w:pPr>
      <w:spacing w:after="0"/>
    </w:pPr>
    <w:rPr>
      <w:rFonts w:ascii="Arial" w:eastAsia="Arial" w:hAnsi="Arial" w:cs="Arial"/>
      <w:color w:val="000000"/>
    </w:rPr>
  </w:style>
  <w:style w:type="paragraph" w:styleId="Cm">
    <w:name w:val="Title"/>
    <w:basedOn w:val="normal"/>
    <w:next w:val="normal"/>
    <w:rsid w:val="00E76801"/>
    <w:rPr>
      <w:rFonts w:ascii="Trebuchet MS" w:eastAsia="Trebuchet MS" w:hAnsi="Trebuchet MS" w:cs="Trebuchet MS"/>
      <w:sz w:val="42"/>
    </w:rPr>
  </w:style>
  <w:style w:type="paragraph" w:styleId="Alcm">
    <w:name w:val="Subtitle"/>
    <w:basedOn w:val="normal"/>
    <w:next w:val="normal"/>
    <w:rsid w:val="00E76801"/>
    <w:pPr>
      <w:spacing w:after="200"/>
    </w:pPr>
    <w:rPr>
      <w:rFonts w:ascii="Trebuchet MS" w:eastAsia="Trebuchet MS" w:hAnsi="Trebuchet MS" w:cs="Trebuchet MS"/>
      <w:i/>
      <w:color w:val="666666"/>
      <w:sz w:val="26"/>
    </w:rPr>
  </w:style>
  <w:style w:type="paragraph" w:styleId="Buborkszveg">
    <w:name w:val="Balloon Text"/>
    <w:basedOn w:val="Norml"/>
    <w:link w:val="BuborkszvegChar"/>
    <w:uiPriority w:val="99"/>
    <w:semiHidden/>
    <w:unhideWhenUsed/>
    <w:rsid w:val="00F0602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602B"/>
    <w:rPr>
      <w:rFonts w:ascii="Tahoma" w:hAnsi="Tahoma" w:cs="Tahoma"/>
      <w:sz w:val="16"/>
      <w:szCs w:val="16"/>
    </w:rPr>
  </w:style>
  <w:style w:type="paragraph" w:styleId="lfej">
    <w:name w:val="header"/>
    <w:basedOn w:val="Norml"/>
    <w:link w:val="lfejChar"/>
    <w:uiPriority w:val="99"/>
    <w:unhideWhenUsed/>
    <w:rsid w:val="00F0602B"/>
    <w:pPr>
      <w:tabs>
        <w:tab w:val="center" w:pos="4680"/>
        <w:tab w:val="right" w:pos="9360"/>
      </w:tabs>
      <w:spacing w:after="0" w:line="240" w:lineRule="auto"/>
    </w:pPr>
  </w:style>
  <w:style w:type="character" w:customStyle="1" w:styleId="lfejChar">
    <w:name w:val="Élőfej Char"/>
    <w:basedOn w:val="Bekezdsalapbettpusa"/>
    <w:link w:val="lfej"/>
    <w:uiPriority w:val="99"/>
    <w:rsid w:val="00F0602B"/>
  </w:style>
  <w:style w:type="paragraph" w:styleId="llb">
    <w:name w:val="footer"/>
    <w:basedOn w:val="Norml"/>
    <w:link w:val="llbChar"/>
    <w:uiPriority w:val="99"/>
    <w:unhideWhenUsed/>
    <w:rsid w:val="00F0602B"/>
    <w:pPr>
      <w:tabs>
        <w:tab w:val="center" w:pos="4680"/>
        <w:tab w:val="right" w:pos="9360"/>
      </w:tabs>
      <w:spacing w:after="0" w:line="240" w:lineRule="auto"/>
    </w:pPr>
  </w:style>
  <w:style w:type="character" w:customStyle="1" w:styleId="llbChar">
    <w:name w:val="Élőláb Char"/>
    <w:basedOn w:val="Bekezdsalapbettpusa"/>
    <w:link w:val="llb"/>
    <w:uiPriority w:val="99"/>
    <w:rsid w:val="00F0602B"/>
  </w:style>
  <w:style w:type="paragraph" w:styleId="Nincstrkz">
    <w:name w:val="No Spacing"/>
    <w:link w:val="NincstrkzChar"/>
    <w:uiPriority w:val="1"/>
    <w:qFormat/>
    <w:rsid w:val="00BA14E6"/>
    <w:pPr>
      <w:spacing w:after="0" w:line="240" w:lineRule="auto"/>
    </w:pPr>
    <w:rPr>
      <w:lang w:val="hu-HU"/>
    </w:rPr>
  </w:style>
  <w:style w:type="character" w:customStyle="1" w:styleId="NincstrkzChar">
    <w:name w:val="Nincs térköz Char"/>
    <w:basedOn w:val="Bekezdsalapbettpusa"/>
    <w:link w:val="Nincstrkz"/>
    <w:uiPriority w:val="1"/>
    <w:rsid w:val="00BA14E6"/>
    <w:rPr>
      <w:lang w:val="hu-HU"/>
    </w:rPr>
  </w:style>
  <w:style w:type="paragraph" w:styleId="Listaszerbekezds">
    <w:name w:val="List Paragraph"/>
    <w:basedOn w:val="Norml"/>
    <w:uiPriority w:val="34"/>
    <w:qFormat/>
    <w:rsid w:val="00012AA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4B598B"/>
    <w:rsid w:val="004B598B"/>
    <w:rsid w:val="00515AB9"/>
    <w:rsid w:val="00870311"/>
    <w:rsid w:val="009B3AC3"/>
    <w:rsid w:val="00B45034"/>
    <w:rsid w:val="00BD65D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3AC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4548F706CB8B407F86EC3A2E9F6602DE">
    <w:name w:val="4548F706CB8B407F86EC3A2E9F6602DE"/>
    <w:rsid w:val="004B598B"/>
  </w:style>
  <w:style w:type="paragraph" w:customStyle="1" w:styleId="E36D3D3C419A47F6A4B17ED5BB9812C2">
    <w:name w:val="E36D3D3C419A47F6A4B17ED5BB9812C2"/>
    <w:rsid w:val="004B598B"/>
  </w:style>
  <w:style w:type="paragraph" w:customStyle="1" w:styleId="5F7AA99B687A47BCA542A45FA80B9E14">
    <w:name w:val="5F7AA99B687A47BCA542A45FA80B9E14"/>
    <w:rsid w:val="004B598B"/>
  </w:style>
  <w:style w:type="paragraph" w:customStyle="1" w:styleId="7C870DC5765049A8B4DF5F75C0AA3A11">
    <w:name w:val="7C870DC5765049A8B4DF5F75C0AA3A11"/>
    <w:rsid w:val="004B598B"/>
  </w:style>
  <w:style w:type="paragraph" w:customStyle="1" w:styleId="BE49BD94A88B4FFA8D400000D5A97F63">
    <w:name w:val="BE49BD94A88B4FFA8D400000D5A97F63"/>
    <w:rsid w:val="004B598B"/>
  </w:style>
  <w:style w:type="paragraph" w:customStyle="1" w:styleId="D5DD887278394301B2861837405F1BEA">
    <w:name w:val="D5DD887278394301B2861837405F1BEA"/>
    <w:rsid w:val="004B598B"/>
  </w:style>
  <w:style w:type="paragraph" w:customStyle="1" w:styleId="650E2DB4AB6B4932A0933E2098EEBD36">
    <w:name w:val="650E2DB4AB6B4932A0933E2098EEBD36"/>
    <w:rsid w:val="004B598B"/>
  </w:style>
  <w:style w:type="paragraph" w:customStyle="1" w:styleId="0205F65C9F5C4151897125B0F59A54CC">
    <w:name w:val="0205F65C9F5C4151897125B0F59A54CC"/>
    <w:rsid w:val="004B598B"/>
  </w:style>
  <w:style w:type="paragraph" w:customStyle="1" w:styleId="CFF2BBA4F2BC4DA3B7CE44BBBED6BF0C">
    <w:name w:val="CFF2BBA4F2BC4DA3B7CE44BBBED6BF0C"/>
    <w:rsid w:val="004B59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 február 12. – 2013. június 30.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1033</Words>
  <Characters>7129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Eötvös Loránd Tudományegyetem     Természettudományi Kar                                           Hallgatói Önkormányzat</vt:lpstr>
    </vt:vector>
  </TitlesOfParts>
  <Company/>
  <LinksUpToDate>false</LinksUpToDate>
  <CharactersWithSpaces>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Eötvös Loránd Tudományegyetem     Természettudományi Kar                                           Hallgatói Önkormányzat</dc:title>
  <dc:subject>Beszámoló</dc:subject>
  <dc:creator>Béni Kornél</dc:creator>
  <cp:lastModifiedBy>elnok</cp:lastModifiedBy>
  <cp:revision>8</cp:revision>
  <dcterms:created xsi:type="dcterms:W3CDTF">2013-06-30T14:00:00Z</dcterms:created>
  <dcterms:modified xsi:type="dcterms:W3CDTF">2013-07-01T16:43:00Z</dcterms:modified>
</cp:coreProperties>
</file>