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B" w:rsidRPr="00196700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00">
        <w:rPr>
          <w:rFonts w:ascii="Times New Roman" w:hAnsi="Times New Roman" w:cs="Times New Roman"/>
          <w:sz w:val="24"/>
          <w:szCs w:val="24"/>
        </w:rPr>
        <w:t>TTK HÖK Alapszabály módosítási</w:t>
      </w:r>
      <w:r w:rsidRPr="00196700">
        <w:rPr>
          <w:rFonts w:ascii="Times New Roman" w:hAnsi="Times New Roman" w:cs="Times New Roman"/>
          <w:sz w:val="24"/>
          <w:szCs w:val="24"/>
        </w:rPr>
        <w:br/>
        <w:t>javaslat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Eredeti szöveg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Módosított szöveg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Indoklás</w:t>
            </w:r>
          </w:p>
        </w:tc>
      </w:tr>
      <w:tr w:rsidR="006416B1" w:rsidRPr="00196700" w:rsidTr="008720EF">
        <w:tc>
          <w:tcPr>
            <w:tcW w:w="3020" w:type="dxa"/>
          </w:tcPr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tagja a nemzeti felsőoktatásról szóló 2011. évi CCIV. törvény 60. § (1) alapján meghatározott hallgatók közül azok, akiknek alapkara az ELTE TTK vagy a Karon minor szakirányon vagy tanári modulon folytatnak tanulmányokat.</w:t>
            </w:r>
          </w:p>
          <w:p w:rsidR="006416B1" w:rsidRPr="00196700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tagja a nemzeti felsőoktatásról szóló 2011. évi CCIV. törvény 60. § (1) alapján meghatározott hallgatók közül azok, akiknek alapkara az ELTE TTK vagy a Karon minor szakirányon</w:t>
            </w:r>
            <w:r w:rsidR="00E8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>vagy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tanári modulon</w:t>
            </w:r>
            <w:r w:rsidR="00196700"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96700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vagy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tanárszakon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folytatnak tanulmányokat.</w:t>
            </w:r>
          </w:p>
          <w:p w:rsidR="006416B1" w:rsidRPr="00196700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16B1" w:rsidRPr="00196700" w:rsidRDefault="006416B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 §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Egy személy – amennyiben több szakon, szakirányon, modulon folytat tanulmányokat </w:t>
            </w:r>
            <w:proofErr w:type="gram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több</w:t>
            </w:r>
            <w:proofErr w:type="gram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biológia alapszak, biológia minor szakirány, biológus mesterszak, tanári mesterszak biológiatanári modullal, biológia tanár, biológus.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fizika minor szakirány, biofizikus mesterszak, fizikus mesterszak, tanári mesterszak fizikatanári modullal, fizika tanár, alkalmazott fizikus,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földrajz alapszak, földtudományi alapszak, földrajz minor szakirány, csillagász mesterszak, geofizikus mesterszak, geográfus mesterszak, geológus mesterszak, meteorológus mesterszak, tanári mesterszak földrajztanári modullal, földrajz tanár, csillagász, geofizikus, geográfus, geológus, meteorológus.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minor szakirány, anyagtudomány mesterszak, vegyész mesterszak, tanári mesterszak kémiatanári modullal, kémia tanár, informatikus vegyész,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környezettan alapszak, környezettan minor szakirány, környezettudomány mesterszak, környezettan tanár, környezettudomány.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matematika minor szakirány, alkalmazott matematikus mesterszak, biztosítási és pénzügyi matematika mesterszak, matematikus mesterszak, tanári matematikatanári modullal, matematika tanár, alkalmazott matematikus,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tudománykommunikáció a természettudományban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besorolandó hallgatókat egyesével abba a szakterületbe kell besorolni, amelyik az esetükben dobott oldalhoz az előbbi módon hozzárendelésre került.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5. §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Egy személy – amennyiben több szakon, szakirányon, modulon folytat tanulmányokat </w:t>
            </w:r>
            <w:proofErr w:type="gramStart"/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–  több</w:t>
            </w:r>
            <w:proofErr w:type="gramEnd"/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biológia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biológia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biológus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tanári mesterszak biológiatanári modullal,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biológia tanár, biológus.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fizika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biofizikus mesterszak, fizikus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fizikatanári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fizika tanár, alkalmazott fizikus,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földrajz alapszak, földtudományi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földrajz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csillagász mesterszak, geofizikus mesterszak, geográfus mesterszak, geológus mesterszak, meteorológus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földrajztanári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földrajz tanár, csillagász, geofizikus, geográfus, geológus, meteorológus.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minor szakirány,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anyagtudomány mesterszak, vegyész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kémiatanári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kémia tanár, informatikus vegyész,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környezettan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környezettan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környezettudomány mesterszak, környezettan tanár, környezettudomány.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lastRenderedPageBreak/>
              <w:t>matematika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alkalmazott matematikus mesterszak, biztosítási és pénzügyi matematika mesterszak, matematikus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matematikatanári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matematika tanár, alkalmazott matematikus,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4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(g) </w:t>
            </w: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proofErr w:type="spellEnd"/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r w:rsidRPr="0019670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Tanárképzési szakterület</w:t>
            </w: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osztatlan tanári mesterképzés biológia, fizika, földrajz, kémia, természetismeret-környezettan, vagy matematika modullal; tanári mesterszak biológia, fizika, földrajz, kémia, környezettan, matematika modullal.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A4448" w:rsidRPr="00196700" w:rsidRDefault="00D53696" w:rsidP="0019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tudománykommunikáció a természettudományban mesterszak hallgatói nem sorolhatóak be a tanárképzési szakterülethez.</w:t>
            </w:r>
          </w:p>
          <w:p w:rsidR="00A13A20" w:rsidRPr="00196700" w:rsidRDefault="00D53696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3A20"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(3)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tab/>
              <w:t>A tudománykommunikáció a természettudományban mesterszak hallgatói beiratkozásukkor írásban nyilatkoznak arról, hogy melyik szakterület tagjai kívánnak lenni</w:t>
            </w:r>
            <w:r w:rsidR="003A4448"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a (3)</w:t>
            </w:r>
            <w:r w:rsidR="007D1386">
              <w:rPr>
                <w:rFonts w:ascii="Times New Roman" w:hAnsi="Times New Roman" w:cs="Times New Roman"/>
                <w:b/>
                <w:sz w:val="24"/>
                <w:szCs w:val="24"/>
              </w:rPr>
              <w:t>. bekezdés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rendelkezéseit figyelembe véve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. Minden regisztrációs időszakban új nyilatkozatot tehetnek. Amennyiben a hallgató nem él nyilatkozattételi jogával a beiratkozáskor, úgy az Ellenőrző Bizottság a soron 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tanárképzési szakterület létre hozását az osztatlan tanárképzésben résztvevők szavazati jogának tisztázása indokolja.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Az egy szakos régi rendszerű osztatlan tanári szakok (2006 előtt indított szakok, pl. biológia tanár) maradtak az eredeti </w:t>
            </w:r>
            <w:proofErr w:type="spell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szakterületekün</w:t>
            </w:r>
            <w:proofErr w:type="spell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811" w:rsidRPr="00196700" w:rsidTr="008720EF">
        <w:tc>
          <w:tcPr>
            <w:tcW w:w="3020" w:type="dxa"/>
          </w:tcPr>
          <w:p w:rsidR="00A06811" w:rsidRPr="00196700" w:rsidRDefault="00A06811" w:rsidP="00196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7. §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…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szavazati joggal rendelkező tagjai az Önkormányzat választott képviselői. A szavazati jog nem ruházható át. A választások rendjéről a 41-46. §§ rendelkeznek.</w:t>
            </w:r>
          </w:p>
        </w:tc>
        <w:tc>
          <w:tcPr>
            <w:tcW w:w="3021" w:type="dxa"/>
          </w:tcPr>
          <w:p w:rsidR="00A06811" w:rsidRPr="00196700" w:rsidRDefault="00A06811" w:rsidP="001967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 §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…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szavazati joggal rendelkező tagjai az Önkormányzat választott képviselői. A szavazati jog nem ruházható át. A választások rendjéről a 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41-46. §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42-47</w:t>
            </w:r>
            <w:r w:rsidR="00E80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§ rendelkeznek.</w:t>
            </w:r>
          </w:p>
        </w:tc>
        <w:tc>
          <w:tcPr>
            <w:tcW w:w="3021" w:type="dxa"/>
          </w:tcPr>
          <w:p w:rsidR="00A06811" w:rsidRPr="00196700" w:rsidRDefault="00A0681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F" w:rsidRPr="00196700" w:rsidTr="008720EF">
        <w:trPr>
          <w:trHeight w:val="1823"/>
        </w:trPr>
        <w:tc>
          <w:tcPr>
            <w:tcW w:w="3020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</w:pPr>
            <w:r w:rsidRPr="00196700">
              <w:rPr>
                <w:bCs/>
              </w:rPr>
              <w:t>7. §</w:t>
            </w:r>
            <w:r w:rsidRPr="00196700">
              <w:br/>
            </w:r>
            <w:r w:rsidRPr="00196700">
              <w:rPr>
                <w:i/>
                <w:iCs/>
              </w:rPr>
              <w:t>A Küldöttgyűlés</w:t>
            </w:r>
            <w:r w:rsidRPr="00196700">
              <w:rPr>
                <w:i/>
                <w:iCs/>
              </w:rPr>
              <w:br/>
              <w:t>…</w:t>
            </w:r>
            <w:r w:rsidRPr="00196700">
              <w:rPr>
                <w:i/>
                <w:iCs/>
              </w:rPr>
              <w:br/>
            </w:r>
            <w:r w:rsidRPr="00196700">
              <w:rPr>
                <w:shd w:val="clear" w:color="auto" w:fill="FFFFFF"/>
              </w:rPr>
              <w:t xml:space="preserve">(11) </w:t>
            </w:r>
            <w:proofErr w:type="gramStart"/>
            <w:r w:rsidRPr="00196700">
              <w:rPr>
                <w:shd w:val="clear" w:color="auto" w:fill="FFFFFF"/>
              </w:rPr>
              <w:t>A</w:t>
            </w:r>
            <w:proofErr w:type="gramEnd"/>
            <w:r w:rsidRPr="00196700">
              <w:rPr>
                <w:shd w:val="clear" w:color="auto" w:fill="FFFFFF"/>
              </w:rPr>
              <w:t xml:space="preserve"> Küldöttgyűlés 42 főből áll az Alapszabály 46. §</w:t>
            </w:r>
            <w:proofErr w:type="spellStart"/>
            <w:r w:rsidRPr="00196700">
              <w:rPr>
                <w:shd w:val="clear" w:color="auto" w:fill="FFFFFF"/>
              </w:rPr>
              <w:t>-ának</w:t>
            </w:r>
            <w:proofErr w:type="spellEnd"/>
            <w:r w:rsidRPr="00196700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</w:pPr>
            <w:r w:rsidRPr="00196700">
              <w:rPr>
                <w:bCs/>
              </w:rPr>
              <w:t>7. §</w:t>
            </w:r>
            <w:r w:rsidRPr="00196700">
              <w:br/>
            </w:r>
            <w:r w:rsidRPr="00196700">
              <w:rPr>
                <w:i/>
                <w:iCs/>
              </w:rPr>
              <w:t>A Küldöttgyűlés</w:t>
            </w:r>
            <w:r w:rsidRPr="00196700">
              <w:rPr>
                <w:i/>
                <w:iCs/>
              </w:rPr>
              <w:br/>
              <w:t>…</w:t>
            </w:r>
            <w:r w:rsidRPr="00196700">
              <w:rPr>
                <w:i/>
                <w:iCs/>
              </w:rPr>
              <w:br/>
            </w:r>
            <w:r w:rsidRPr="00196700">
              <w:rPr>
                <w:shd w:val="clear" w:color="auto" w:fill="FFFFFF"/>
              </w:rPr>
              <w:t xml:space="preserve">(11) </w:t>
            </w:r>
            <w:proofErr w:type="gramStart"/>
            <w:r w:rsidRPr="00196700">
              <w:rPr>
                <w:shd w:val="clear" w:color="auto" w:fill="FFFFFF"/>
              </w:rPr>
              <w:t>A</w:t>
            </w:r>
            <w:proofErr w:type="gramEnd"/>
            <w:r w:rsidRPr="00196700">
              <w:rPr>
                <w:shd w:val="clear" w:color="auto" w:fill="FFFFFF"/>
              </w:rPr>
              <w:t xml:space="preserve"> Küldöttgyűlés </w:t>
            </w:r>
            <w:r w:rsidRPr="00E80FA9">
              <w:rPr>
                <w:shd w:val="clear" w:color="auto" w:fill="FFFFFF"/>
              </w:rPr>
              <w:t>42</w:t>
            </w:r>
            <w:r w:rsidR="000C4EEE" w:rsidRPr="00196700">
              <w:rPr>
                <w:shd w:val="clear" w:color="auto" w:fill="FFFFFF"/>
              </w:rPr>
              <w:t xml:space="preserve"> </w:t>
            </w:r>
            <w:r w:rsidRPr="00196700">
              <w:rPr>
                <w:shd w:val="clear" w:color="auto" w:fill="FFFFFF"/>
              </w:rPr>
              <w:t xml:space="preserve">főből áll az Alapszabály </w:t>
            </w:r>
            <w:r w:rsidRPr="00196700">
              <w:rPr>
                <w:strike/>
                <w:shd w:val="clear" w:color="auto" w:fill="FFFFFF"/>
              </w:rPr>
              <w:t>46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47</w:t>
            </w:r>
            <w:r w:rsidR="00E80FA9">
              <w:rPr>
                <w:b/>
                <w:shd w:val="clear" w:color="auto" w:fill="FFFFFF"/>
              </w:rPr>
              <w:t>.</w:t>
            </w:r>
            <w:r w:rsidRPr="00196700">
              <w:rPr>
                <w:shd w:val="clear" w:color="auto" w:fill="FFFFFF"/>
              </w:rPr>
              <w:t xml:space="preserve"> §</w:t>
            </w:r>
            <w:proofErr w:type="spellStart"/>
            <w:r w:rsidRPr="00196700">
              <w:rPr>
                <w:shd w:val="clear" w:color="auto" w:fill="FFFFFF"/>
              </w:rPr>
              <w:t>-ának</w:t>
            </w:r>
            <w:proofErr w:type="spellEnd"/>
            <w:r w:rsidRPr="00196700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52" w:rsidRPr="00196700" w:rsidTr="008720EF">
        <w:trPr>
          <w:trHeight w:val="1823"/>
        </w:trPr>
        <w:tc>
          <w:tcPr>
            <w:tcW w:w="3020" w:type="dxa"/>
          </w:tcPr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 §</w:t>
            </w:r>
          </w:p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612452" w:rsidRPr="00196700" w:rsidRDefault="0061245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 Az Ellenőrző Bizottság a tapasztalt szabálytalanságokról a lehető legrövidebb időn belül tájékoztatja az Önkormányzat Választmányát, valamint Küldöttgyűlését,  majd gondoskodik a szabálytalanságok lehető legrövidebb időn belüli megszüntetéséről.</w:t>
            </w:r>
          </w:p>
        </w:tc>
        <w:tc>
          <w:tcPr>
            <w:tcW w:w="3021" w:type="dxa"/>
          </w:tcPr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 §</w:t>
            </w:r>
          </w:p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bCs/>
                <w:shd w:val="clear" w:color="auto" w:fill="FFFFFF"/>
              </w:rPr>
            </w:pPr>
            <w:r w:rsidRPr="00196700">
              <w:t xml:space="preserve">(3) Az Ellenőrző Bizottság a tapasztalt szabálytalanságokról a lehető legrövidebb időn belül tájékoztatja az Önkormányzat Választmányát, valamint Küldöttgyűlését,  majd gondoskodik a szabálytalanságok </w:t>
            </w:r>
            <w:r w:rsidR="00196700" w:rsidRPr="00196700">
              <w:rPr>
                <w:b/>
              </w:rPr>
              <w:t>fennállásának</w:t>
            </w:r>
            <w:r w:rsidRPr="00196700">
              <w:rPr>
                <w:b/>
              </w:rPr>
              <w:t xml:space="preserve"> megszüntetése</w:t>
            </w:r>
            <w:r w:rsidRPr="00196700">
              <w:t xml:space="preserve"> </w:t>
            </w:r>
            <w:r w:rsidRPr="00196700">
              <w:rPr>
                <w:b/>
              </w:rPr>
              <w:t xml:space="preserve">érdekében tehető </w:t>
            </w:r>
            <w:r w:rsidR="00196700" w:rsidRPr="00196700">
              <w:rPr>
                <w:b/>
              </w:rPr>
              <w:t>intézkedések</w:t>
            </w:r>
            <w:r w:rsidRPr="00196700">
              <w:rPr>
                <w:b/>
              </w:rPr>
              <w:t xml:space="preserve"> végrehajtásáról a</w:t>
            </w:r>
            <w:r w:rsidRPr="00196700">
              <w:t xml:space="preserve"> lehető legrövidebb időn belül</w:t>
            </w:r>
            <w:r w:rsidRPr="00196700">
              <w:rPr>
                <w:strike/>
              </w:rPr>
              <w:t>i megszüntetéséről</w:t>
            </w:r>
            <w:proofErr w:type="gramStart"/>
            <w:r w:rsidRPr="00196700">
              <w:rPr>
                <w:strike/>
              </w:rPr>
              <w:t>..</w:t>
            </w:r>
            <w:proofErr w:type="gramEnd"/>
          </w:p>
        </w:tc>
        <w:tc>
          <w:tcPr>
            <w:tcW w:w="3021" w:type="dxa"/>
          </w:tcPr>
          <w:p w:rsidR="00612452" w:rsidRPr="00196700" w:rsidRDefault="0061245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20EF" w:rsidRPr="00196700" w:rsidTr="008720EF">
        <w:trPr>
          <w:trHeight w:val="1823"/>
        </w:trPr>
        <w:tc>
          <w:tcPr>
            <w:tcW w:w="3020" w:type="dxa"/>
          </w:tcPr>
          <w:p w:rsidR="008720EF" w:rsidRPr="00196700" w:rsidRDefault="008720EF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13. §</w:t>
            </w: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 tisztségviselők</w:t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Az Önkormányzat az Alapszabályban körülhatárolt feladatok elvégzésére, napi ügyvitellel kapcsolatos döntések meghozatalára az Alapszabály 37-39. §§</w:t>
            </w:r>
            <w:proofErr w:type="spellStart"/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-ban</w:t>
            </w:r>
            <w:proofErr w:type="spellEnd"/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meghatározott módon tisztségviselőket választ.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  <w:rPr>
                <w:b/>
                <w:bCs/>
              </w:rPr>
            </w:pPr>
            <w:r w:rsidRPr="00196700">
              <w:rPr>
                <w:bCs/>
                <w:shd w:val="clear" w:color="auto" w:fill="FFFFFF"/>
              </w:rPr>
              <w:t>13. §</w:t>
            </w:r>
            <w:r w:rsidRPr="00196700">
              <w:rPr>
                <w:b/>
                <w:bCs/>
                <w:shd w:val="clear" w:color="auto" w:fill="FFFFFF"/>
              </w:rPr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</w:t>
            </w:r>
            <w:r w:rsidRPr="00196700">
              <w:rPr>
                <w:i/>
                <w:iCs/>
                <w:shd w:val="clear" w:color="auto" w:fill="FFFFFF"/>
              </w:rPr>
              <w:br/>
            </w:r>
            <w:r w:rsidRPr="00196700">
              <w:rPr>
                <w:shd w:val="clear" w:color="auto" w:fill="FFFFFF"/>
              </w:rPr>
              <w:t xml:space="preserve">(1) Az Önkormányzat az Alapszabályban körülhatárolt feladatok elvégzésére, napi ügyvitellel kapcsolatos döntések meghozatalára az Alapszabály </w:t>
            </w:r>
            <w:r w:rsidRPr="00196700">
              <w:rPr>
                <w:strike/>
                <w:shd w:val="clear" w:color="auto" w:fill="FFFFFF"/>
              </w:rPr>
              <w:t xml:space="preserve">37-39. § </w:t>
            </w:r>
            <w:r w:rsidRPr="00196700">
              <w:rPr>
                <w:b/>
                <w:shd w:val="clear" w:color="auto" w:fill="FFFFFF"/>
              </w:rPr>
              <w:t>38-40</w:t>
            </w:r>
            <w:r w:rsidR="007D1386">
              <w:rPr>
                <w:b/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 xml:space="preserve"> </w:t>
            </w:r>
            <w:r w:rsidRPr="00196700">
              <w:rPr>
                <w:shd w:val="clear" w:color="auto" w:fill="FFFFFF"/>
              </w:rPr>
              <w:t>§</w:t>
            </w:r>
            <w:proofErr w:type="spellStart"/>
            <w:r w:rsidRPr="00196700">
              <w:rPr>
                <w:shd w:val="clear" w:color="auto" w:fill="FFFFFF"/>
              </w:rPr>
              <w:t>-ban</w:t>
            </w:r>
            <w:proofErr w:type="spellEnd"/>
            <w:r w:rsidRPr="00196700">
              <w:rPr>
                <w:shd w:val="clear" w:color="auto" w:fill="FFFFFF"/>
              </w:rPr>
              <w:t xml:space="preserve"> meghatározott módon tisztségviselőket választ.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5D59DF" w:rsidRPr="00196700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196700">
              <w:rPr>
                <w:rStyle w:val="Kiemels2"/>
              </w:rPr>
              <w:lastRenderedPageBreak/>
              <w:t>13. §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>(2) (d)  a szakterületi koordinátorok: a biológia szakterületi koordinátor, a fizika szakterületi koordinátor, a földrajz- és földtudományi szakterületi koordinátor, a kémia szakterületi koordinátor, a környezettudományi szakterületi koordinátor és a matematika szakterületi koordinátor,</w:t>
            </w: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D59DF" w:rsidRPr="00196700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196700">
              <w:rPr>
                <w:rStyle w:val="Kiemels2"/>
              </w:rPr>
              <w:t>13.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 xml:space="preserve">(2) (d)  a szakterületi koordinátorok: a biológia szakterületi koordinátor, a fizika szakterületi koordinátor, a földrajz- és földtudományi szakterületi koordinátor, a kémia szakterületi koordinátor, a környezettudományi szakterületi koordinátor, </w:t>
            </w:r>
            <w:r w:rsidRPr="00196700">
              <w:rPr>
                <w:strike/>
              </w:rPr>
              <w:t>és</w:t>
            </w:r>
            <w:r w:rsidRPr="00196700">
              <w:t xml:space="preserve"> a matematika szakterületi koordinátor </w:t>
            </w:r>
            <w:r w:rsidRPr="00196700">
              <w:rPr>
                <w:b/>
              </w:rPr>
              <w:t>és a tanárképzési szakterületi koordinátor</w:t>
            </w:r>
            <w:r w:rsidRPr="00196700">
              <w:t>;</w:t>
            </w:r>
          </w:p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 tanárképzési szakterület megalapítása indokolja.</w:t>
            </w:r>
          </w:p>
        </w:tc>
      </w:tr>
      <w:tr w:rsidR="00CB3E72" w:rsidRPr="00196700" w:rsidTr="00CB3E72">
        <w:trPr>
          <w:trHeight w:val="1823"/>
        </w:trPr>
        <w:tc>
          <w:tcPr>
            <w:tcW w:w="3020" w:type="dxa"/>
          </w:tcPr>
          <w:p w:rsidR="00CB3E72" w:rsidRPr="00196700" w:rsidRDefault="00CB3E72" w:rsidP="00196700">
            <w:pPr>
              <w:pStyle w:val="NormlWeb"/>
              <w:spacing w:before="100" w:beforeAutospacing="1" w:after="0"/>
              <w:jc w:val="center"/>
            </w:pPr>
            <w:r w:rsidRPr="00196700">
              <w:rPr>
                <w:bCs/>
                <w:shd w:val="clear" w:color="auto" w:fill="FFFFFF"/>
              </w:rPr>
              <w:t>14. §</w:t>
            </w:r>
            <w:r w:rsidRPr="00196700"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196700" w:rsidRDefault="00CB3E72" w:rsidP="00196700">
            <w:pPr>
              <w:pStyle w:val="NormlWeb"/>
              <w:spacing w:after="0"/>
              <w:ind w:left="567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(a)</w:t>
            </w:r>
            <w:r w:rsidRPr="00196700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196700" w:rsidRDefault="00CB3E72" w:rsidP="00196700">
            <w:pPr>
              <w:pStyle w:val="NormlWeb"/>
              <w:spacing w:after="0"/>
              <w:ind w:left="567"/>
              <w:jc w:val="center"/>
            </w:pPr>
            <w:r w:rsidRPr="00196700">
              <w:rPr>
                <w:shd w:val="clear" w:color="auto" w:fill="FFFFFF"/>
              </w:rPr>
              <w:t xml:space="preserve">(b) </w:t>
            </w:r>
            <w:r w:rsidRPr="00196700">
              <w:rPr>
                <w:shd w:val="clear" w:color="auto" w:fill="FFFFFF"/>
              </w:rPr>
              <w:tab/>
              <w:t>a 34. § (1) bekezdés alapján a Választmánynak és a Küldöttgyűlésnek.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pStyle w:val="NormlWeb"/>
              <w:spacing w:before="100" w:beforeAutospacing="1" w:after="0"/>
              <w:jc w:val="center"/>
            </w:pPr>
            <w:r w:rsidRPr="00196700">
              <w:rPr>
                <w:bCs/>
                <w:shd w:val="clear" w:color="auto" w:fill="FFFFFF"/>
              </w:rPr>
              <w:t>14. §</w:t>
            </w:r>
            <w:r w:rsidRPr="00196700"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196700" w:rsidRDefault="00CB3E72" w:rsidP="00196700">
            <w:pPr>
              <w:pStyle w:val="NormlWeb"/>
              <w:spacing w:after="0"/>
              <w:ind w:left="567" w:hanging="43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(a)</w:t>
            </w:r>
            <w:r w:rsidRPr="00196700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196700" w:rsidRDefault="00CB3E72" w:rsidP="00196700">
            <w:pPr>
              <w:pStyle w:val="NormlWeb"/>
              <w:spacing w:after="0"/>
              <w:ind w:left="524"/>
              <w:jc w:val="center"/>
              <w:rPr>
                <w:b/>
                <w:bCs/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 xml:space="preserve">(b) </w:t>
            </w:r>
            <w:r w:rsidRPr="00196700">
              <w:rPr>
                <w:shd w:val="clear" w:color="auto" w:fill="FFFFFF"/>
              </w:rPr>
              <w:tab/>
              <w:t xml:space="preserve">a </w:t>
            </w:r>
            <w:r w:rsidRPr="00196700">
              <w:rPr>
                <w:strike/>
                <w:shd w:val="clear" w:color="auto" w:fill="FFFFFF"/>
              </w:rPr>
              <w:t>34</w:t>
            </w:r>
            <w:r w:rsidRPr="00196700">
              <w:rPr>
                <w:shd w:val="clear" w:color="auto" w:fill="FFFFFF"/>
              </w:rPr>
              <w:t xml:space="preserve"> </w:t>
            </w:r>
            <w:r w:rsidRPr="00196700">
              <w:rPr>
                <w:b/>
                <w:shd w:val="clear" w:color="auto" w:fill="FFFFFF"/>
              </w:rPr>
              <w:t>35</w:t>
            </w:r>
            <w:r w:rsidRPr="00196700">
              <w:rPr>
                <w:shd w:val="clear" w:color="auto" w:fill="FFFFFF"/>
              </w:rPr>
              <w:t>. § (1) bekezdés alapján a Választmánynak és a Küldöttgyűlésnek.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196700" w:rsidTr="00CB3E72">
        <w:trPr>
          <w:trHeight w:val="1823"/>
        </w:trPr>
        <w:tc>
          <w:tcPr>
            <w:tcW w:w="3020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17.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 A gazdasági elnökhelyettes feladata az Önkormányzat gazdasági és pénzügyeinek intézése, a költségvetés tervezetének elkészítése, a költségvetés és a Hallgatói Követelményrendszer 92. § (3) bekezdés a)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17.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b/>
                <w:bCs/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 xml:space="preserve">(1) A gazdasági elnökhelyettes feladata az Önkormányzat gazdasági és pénzügyeinek intézése, a költségvetés tervezetének elkészítése, a költségvetés és a Hallgatói Követelményrendszer 92. § (3) bekezdés </w:t>
            </w:r>
            <w:r w:rsidRPr="00196700">
              <w:rPr>
                <w:strike/>
                <w:shd w:val="clear" w:color="auto" w:fill="FFFFFF"/>
              </w:rPr>
              <w:t>a)</w:t>
            </w:r>
            <w:r w:rsidRPr="00196700">
              <w:rPr>
                <w:shd w:val="clear" w:color="auto" w:fill="FFFFFF"/>
              </w:rPr>
              <w:t xml:space="preserve"> </w:t>
            </w:r>
            <w:proofErr w:type="spellStart"/>
            <w:r w:rsidRPr="00196700">
              <w:rPr>
                <w:b/>
                <w:shd w:val="clear" w:color="auto" w:fill="FFFFFF"/>
              </w:rPr>
              <w:t>aa</w:t>
            </w:r>
            <w:proofErr w:type="spellEnd"/>
            <w:r w:rsidRPr="00196700">
              <w:rPr>
                <w:b/>
                <w:shd w:val="clear" w:color="auto" w:fill="FFFFFF"/>
              </w:rPr>
              <w:t>)</w:t>
            </w:r>
            <w:r w:rsidRPr="00196700">
              <w:rPr>
                <w:shd w:val="clear" w:color="auto" w:fill="FFFFFF"/>
              </w:rPr>
              <w:t xml:space="preserve">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196700" w:rsidTr="008720EF">
        <w:tc>
          <w:tcPr>
            <w:tcW w:w="3020" w:type="dxa"/>
          </w:tcPr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szankcionálása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(2) Ha egy tisztségviselő rendes vagy rendkívüli beszámolóját a testület nem fogadja el, a tisztségviselő egyhavi ösztöndíját meg kell vonni. A beszámoló el nem fogadását követő 30 napon belül a tisztségviselőnek ismételt írásbeli beszámolót kell tennie, amelyet a soron következő 14.§ (1) bekezdésben meghatározott illetékes testület ülésén tárgyalni kell.</w:t>
            </w:r>
          </w:p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szankcionálása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(2) Ha egy tisztségviselő rendes vagy rendkívüli beszámolóját a testület nem fogadja el, a tisztségviselő egyhavi ösztöndíját meg kell vonni. A beszámoló el nem fogadását követő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30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8D20F9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legalább 14 legfeljebb 30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napon belül a tisztségviselőnek ismételt írásbeli beszámolót kell tennie, amelyet a soron következő 14.§ (1) bekezdésben meghatározott illetékes testület ülésén tárgyalni kell.</w:t>
            </w:r>
          </w:p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(5) Sikertelen visszahívási indítvány esetén, visszahívásra legközelebb a következő küldöttgyűlési ülésen kerülhet sor.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</w:rPr>
              <w:t xml:space="preserve">(5) </w:t>
            </w:r>
            <w:r w:rsidRPr="00196700">
              <w:rPr>
                <w:rFonts w:ascii="Times New Roman" w:hAnsi="Times New Roman" w:cs="Times New Roman"/>
                <w:strike/>
              </w:rPr>
              <w:t>Sikertelen visszahívási indítvány esetén, visszahívásra legközelebb a következő küldöttgyűlési ülésen kerülhet sor.</w:t>
            </w:r>
            <w:r w:rsidRPr="00196700">
              <w:rPr>
                <w:rFonts w:ascii="Times New Roman" w:hAnsi="Times New Roman" w:cs="Times New Roman"/>
              </w:rPr>
              <w:t xml:space="preserve"> </w:t>
            </w:r>
            <w:r w:rsidRPr="00196700">
              <w:rPr>
                <w:rFonts w:ascii="Times New Roman" w:hAnsi="Times New Roman" w:cs="Times New Roman"/>
                <w:b/>
              </w:rPr>
              <w:t xml:space="preserve">Ha </w:t>
            </w:r>
            <w:r w:rsidR="00196700" w:rsidRPr="00196700">
              <w:rPr>
                <w:rFonts w:ascii="Times New Roman" w:hAnsi="Times New Roman" w:cs="Times New Roman"/>
                <w:b/>
              </w:rPr>
              <w:t xml:space="preserve">két olyan egymást követő - a köztes, nem ilyen üléseket figyelmen kívül hagyva - </w:t>
            </w:r>
            <w:r w:rsidR="00196700" w:rsidRPr="00196700">
              <w:rPr>
                <w:rFonts w:ascii="Times New Roman" w:hAnsi="Times New Roman" w:cs="Times New Roman"/>
                <w:b/>
              </w:rPr>
              <w:lastRenderedPageBreak/>
              <w:t>küldöttgyűlési ülésen, ahol beszámolási kötelezettsége van</w:t>
            </w:r>
            <w:r w:rsidR="00196700">
              <w:rPr>
                <w:rFonts w:ascii="Times New Roman" w:hAnsi="Times New Roman" w:cs="Times New Roman"/>
                <w:b/>
              </w:rPr>
              <w:t>: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a) nem tesz eleget beszámolási kötelezettségének, vagy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b) beszámolója nem kerül elfogadásra,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akkor az elnök köteles a küldöttgyűlési ülésen előterjeszteni az adott tisztségviselő kétharmados többséggel történő visszahívását.</w:t>
            </w: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(6) Sikertelen visszahívási indítvány esetén, visszahívásra legközelebb a következő küldöttgyűlési ülésen kerülhet sor.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</w:rPr>
            </w:pP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72" w:rsidRPr="00196700" w:rsidTr="008720EF">
        <w:tc>
          <w:tcPr>
            <w:tcW w:w="3020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38.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rendelkezések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(1) Tisztségviselő megválasztására a Küldöttgyűlés jogosult, de a 7. § (4) bekezdés a) pontjának megkötéseit figyelembe véve ezt a jogkörét átadhatja a Választmánynak.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38.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rendelkezések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(1) Tisztségviselő megválasztására a Küldöttgyűlés jogosult, de a 7. § (4), </w:t>
            </w: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(5)</w:t>
            </w:r>
            <w:r w:rsidR="00395CD7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bekezdés</w:t>
            </w:r>
            <w:r w:rsidR="00612452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ek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a) pontjának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megkötéseit figyelembe véve ezt a jogkörét átadhatja a Választmánynak.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196700" w:rsidTr="008720EF">
        <w:tc>
          <w:tcPr>
            <w:tcW w:w="3020" w:type="dxa"/>
          </w:tcPr>
          <w:p w:rsidR="00395CD7" w:rsidRPr="00196700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40. §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…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t xml:space="preserve">(4) A tisztségviselő mandátumának megszűnése után köteles a megválasztott tisztségviselőnek a lezárt és függő ügyeket, a </w:t>
            </w:r>
            <w:r w:rsidRPr="00196700">
              <w:lastRenderedPageBreak/>
              <w:t>tevékenységhez szükséges információkat átadni. Az elnök és az elnökhelyettesek esetében a vonatkozó rektori utasítás szerint az átadás-átvételről jegyzőkönyvet kell készíteni.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</w:pPr>
            <w:r w:rsidRPr="00196700">
              <w:rPr>
                <w:shd w:val="clear" w:color="auto" w:fill="FFFFFF"/>
              </w:rPr>
              <w:t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36. § (3) bekezdését kell alkalmazni.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40. §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…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t xml:space="preserve">(4) A tisztségviselő mandátumának megszűnése után köteles a megválasztott tisztségviselőnek a lezárt és függő ügyeket, a </w:t>
            </w:r>
            <w:r w:rsidRPr="00196700">
              <w:lastRenderedPageBreak/>
              <w:t xml:space="preserve">tevékenységhez szükséges információkat átadni. </w:t>
            </w:r>
            <w:r w:rsidRPr="00196700">
              <w:rPr>
                <w:strike/>
              </w:rPr>
              <w:t>Az elnök és az elnökhelyettesek esetében</w:t>
            </w:r>
            <w:r w:rsidRPr="00196700">
              <w:t xml:space="preserve"> </w:t>
            </w:r>
            <w:proofErr w:type="gramStart"/>
            <w:r w:rsidR="00BA74C9" w:rsidRPr="00196700">
              <w:rPr>
                <w:b/>
              </w:rPr>
              <w:t>A</w:t>
            </w:r>
            <w:proofErr w:type="gramEnd"/>
            <w:r w:rsidR="00BA74C9" w:rsidRPr="00196700">
              <w:t xml:space="preserve"> </w:t>
            </w:r>
            <w:proofErr w:type="spellStart"/>
            <w:r w:rsidRPr="00196700">
              <w:rPr>
                <w:strike/>
              </w:rPr>
              <w:t>a</w:t>
            </w:r>
            <w:proofErr w:type="spellEnd"/>
            <w:r w:rsidRPr="00196700">
              <w:t xml:space="preserve"> vonatkozó rektori utasítás szerint az átadás-átvételről jegyzőkönyvet kell készíteni.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</w:pPr>
            <w:r w:rsidRPr="00196700">
              <w:rPr>
                <w:shd w:val="clear" w:color="auto" w:fill="FFFFFF"/>
              </w:rPr>
              <w:t xml:space="preserve"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</w:t>
            </w:r>
            <w:r w:rsidRPr="00196700">
              <w:rPr>
                <w:strike/>
                <w:shd w:val="clear" w:color="auto" w:fill="FFFFFF"/>
              </w:rPr>
              <w:t>36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37</w:t>
            </w:r>
            <w:r w:rsidR="007D1386">
              <w:rPr>
                <w:b/>
                <w:shd w:val="clear" w:color="auto" w:fill="FFFFFF"/>
              </w:rPr>
              <w:t>.</w:t>
            </w:r>
            <w:bookmarkStart w:id="0" w:name="_GoBack"/>
            <w:bookmarkEnd w:id="0"/>
            <w:r w:rsidRPr="00196700">
              <w:rPr>
                <w:shd w:val="clear" w:color="auto" w:fill="FFFFFF"/>
              </w:rPr>
              <w:t xml:space="preserve"> § (3) bekezdését kell alkalmazni.</w:t>
            </w:r>
          </w:p>
        </w:tc>
        <w:tc>
          <w:tcPr>
            <w:tcW w:w="3021" w:type="dxa"/>
          </w:tcPr>
          <w:p w:rsidR="00395CD7" w:rsidRPr="00196700" w:rsidRDefault="00BA74C9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op"/>
            <w:r w:rsidRPr="00196700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lastRenderedPageBreak/>
              <w:t>9/2014. (IV. 2.) számú rektori utasítás</w:t>
            </w:r>
            <w:bookmarkEnd w:id="1"/>
            <w:r w:rsidRPr="00196700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t xml:space="preserve"> indokolja</w:t>
            </w:r>
          </w:p>
        </w:tc>
      </w:tr>
      <w:tr w:rsidR="008F6778" w:rsidRPr="00196700" w:rsidTr="008720EF">
        <w:tc>
          <w:tcPr>
            <w:tcW w:w="3020" w:type="dxa"/>
          </w:tcPr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(3) A szavazás a Választási Bizottság által elkészített szavazólapokon történik. A szavazólapokon fel kell tüntetni az adott szakterület nevét, a szavazattal támogatható jelöltek számát, a szakterülethez tartozó jelöltek nevét betűrendben, meg kell jelölni a jelöltek szakját, illetve amennyiben a jelölt hozzájárul, maximum igazolványkép méretű fotóját és lehetővé kell tenni, hogy a szavazók a támogatni kívánt jelölteket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egyértelműen megjelölhessék.</w:t>
            </w:r>
          </w:p>
        </w:tc>
        <w:tc>
          <w:tcPr>
            <w:tcW w:w="3021" w:type="dxa"/>
          </w:tcPr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 A szavazás a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z ELTE EHÖK által meghatározott módon elektronikusan vagy a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Választási Bizottság által elkészített szavazólapokon történik. A szavazólapokon fel kell tüntetni az adott szakterület nevét, a szavazattal támogatható jelöltek számát, a szakterülethez tartozó jelöltek nevét betűrendben, meg kell jelölni a jelöltek szakját, illetve amennyiben a jelölt hozzájárul, maximum igazolványkép méretű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fotóját és lehetővé kell tenni, hogy a szavazók a támogatni kívánt jelölteket egyértelműen megjelölhessék.</w:t>
            </w:r>
          </w:p>
        </w:tc>
        <w:tc>
          <w:tcPr>
            <w:tcW w:w="3021" w:type="dxa"/>
          </w:tcPr>
          <w:p w:rsidR="008F6778" w:rsidRPr="00196700" w:rsidRDefault="008F6778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196700" w:rsidTr="008720EF">
        <w:tc>
          <w:tcPr>
            <w:tcW w:w="3020" w:type="dxa"/>
          </w:tcPr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48. §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 A megüresedett képviselői helyek póttagokkal feltöltését a 45. § (8) bekezdése tartalmazza. Az alakuló küldöttgyűlési ülés kivételével nem számít hiányzásnak, ha a képviselő mandátuma kevesebb, mint 72 órával az ülés kezdete előtt lépett életbe.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48. §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196700" w:rsidRDefault="00395CD7" w:rsidP="00196700">
            <w:pPr>
              <w:pStyle w:val="NormlWeb"/>
              <w:spacing w:after="0" w:line="240" w:lineRule="auto"/>
              <w:jc w:val="center"/>
            </w:pPr>
            <w:r w:rsidRPr="00196700">
              <w:rPr>
                <w:shd w:val="clear" w:color="auto" w:fill="FFFFFF"/>
              </w:rPr>
              <w:t xml:space="preserve">(3) A megüresedett képviselői helyek póttagokkal feltöltését a </w:t>
            </w:r>
            <w:r w:rsidRPr="00196700">
              <w:rPr>
                <w:strike/>
                <w:shd w:val="clear" w:color="auto" w:fill="FFFFFF"/>
              </w:rPr>
              <w:t>45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47</w:t>
            </w:r>
            <w:r w:rsidRPr="00196700">
              <w:rPr>
                <w:shd w:val="clear" w:color="auto" w:fill="FFFFFF"/>
              </w:rPr>
              <w:t xml:space="preserve"> § (8) bekezdése tartalmazza. Az alakuló küldöttgyűlési ülés kivételével nem számít hiányzásnak, ha a képviselő mandátuma kevesebb, mint 72 órával az ülés kezdete előtt lépett életbe.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F7" w:rsidRPr="00196700" w:rsidTr="008720EF">
        <w:tc>
          <w:tcPr>
            <w:tcW w:w="3020" w:type="dxa"/>
          </w:tcPr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49. §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…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b/>
              </w:rPr>
            </w:pPr>
            <w:r w:rsidRPr="00196700">
              <w:t>(3)   A záró Küldöttgyűlést minden évben, legkésőbb a tavaszi félév vége után legfeljebb négy héttel kell megtartani.</w:t>
            </w:r>
          </w:p>
        </w:tc>
        <w:tc>
          <w:tcPr>
            <w:tcW w:w="3021" w:type="dxa"/>
          </w:tcPr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49. §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…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</w:pPr>
            <w:r w:rsidRPr="00196700">
              <w:t>(3)   A záró Küldöttgyűlést minden évben, legkésőbb a</w:t>
            </w:r>
            <w:r w:rsidRPr="00196700">
              <w:rPr>
                <w:b/>
              </w:rPr>
              <w:t>z</w:t>
            </w:r>
            <w:r w:rsidRPr="00196700">
              <w:t xml:space="preserve"> </w:t>
            </w:r>
            <w:r w:rsidRPr="00196700">
              <w:rPr>
                <w:strike/>
              </w:rPr>
              <w:t xml:space="preserve">tavaszi </w:t>
            </w:r>
            <w:r w:rsidRPr="00196700">
              <w:rPr>
                <w:b/>
              </w:rPr>
              <w:t>őszi</w:t>
            </w:r>
            <w:r w:rsidRPr="00196700">
              <w:t xml:space="preserve"> félév </w:t>
            </w:r>
            <w:r w:rsidRPr="00196700">
              <w:rPr>
                <w:b/>
              </w:rPr>
              <w:t xml:space="preserve">szorgalmi időszakának kezdete </w:t>
            </w:r>
            <w:r w:rsidRPr="00196700">
              <w:rPr>
                <w:strike/>
              </w:rPr>
              <w:t>vége</w:t>
            </w:r>
            <w:r w:rsidRPr="00196700">
              <w:t xml:space="preserve"> után legfeljebb </w:t>
            </w:r>
            <w:proofErr w:type="gramStart"/>
            <w:r w:rsidRPr="00196700">
              <w:rPr>
                <w:strike/>
              </w:rPr>
              <w:t>négy</w:t>
            </w:r>
            <w:r w:rsidRPr="00196700">
              <w:t xml:space="preserve">  </w:t>
            </w:r>
            <w:r w:rsidRPr="00196700">
              <w:rPr>
                <w:b/>
              </w:rPr>
              <w:t>tíz</w:t>
            </w:r>
            <w:proofErr w:type="gramEnd"/>
            <w:r w:rsidRPr="00196700">
              <w:t xml:space="preserve"> héttel kell megtartani.</w:t>
            </w:r>
          </w:p>
        </w:tc>
        <w:tc>
          <w:tcPr>
            <w:tcW w:w="3021" w:type="dxa"/>
          </w:tcPr>
          <w:p w:rsidR="005C50F7" w:rsidRPr="00196700" w:rsidRDefault="00273E3A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Az őszi félévben esedékes képviselőválasztás indokolja.</w:t>
            </w:r>
          </w:p>
        </w:tc>
      </w:tr>
      <w:tr w:rsidR="005D59DF" w:rsidRPr="00196700" w:rsidTr="008720EF">
        <w:tc>
          <w:tcPr>
            <w:tcW w:w="3020" w:type="dxa"/>
          </w:tcPr>
          <w:p w:rsidR="005D59DF" w:rsidRPr="00196700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196700">
              <w:t>49. §</w:t>
            </w:r>
          </w:p>
          <w:p w:rsidR="005D59DF" w:rsidRPr="00196700" w:rsidRDefault="005D59DF" w:rsidP="00196700">
            <w:pPr>
              <w:pStyle w:val="NormlWeb"/>
              <w:spacing w:after="0" w:line="240" w:lineRule="auto"/>
              <w:jc w:val="center"/>
            </w:pPr>
            <w:r w:rsidRPr="00196700">
              <w:t>...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(4) Az alakuló Küldöttgyűlést minden évben a rendes évi választásokat követően, a záró Küldöttgyűlést követően, de legkésőbb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szorgalmi időszakának kezdete után legfeljebb nyolc héttel kell megtartani.</w:t>
            </w:r>
          </w:p>
        </w:tc>
        <w:tc>
          <w:tcPr>
            <w:tcW w:w="3021" w:type="dxa"/>
          </w:tcPr>
          <w:p w:rsidR="005D59DF" w:rsidRPr="00196700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196700">
              <w:t>49. §</w:t>
            </w:r>
          </w:p>
          <w:p w:rsidR="005D59DF" w:rsidRPr="00196700" w:rsidRDefault="005D59DF" w:rsidP="00196700">
            <w:pPr>
              <w:pStyle w:val="NormlWeb"/>
              <w:spacing w:after="0" w:line="240" w:lineRule="auto"/>
              <w:jc w:val="center"/>
            </w:pPr>
            <w:r w:rsidRPr="00196700">
              <w:t>...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(4) Az alakuló Küldöttgyűlést minden évben a rendes évi választásokat követően, a záró Küldöttgyűlést követően, de legkésőbb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szorgalmi időszakának kezdete után legfeljebb 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nyolc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tizenkét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héttel kell megtartani.</w:t>
            </w: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Az előző módosításnál nem számoltuk bele, hogy a képviselő választás szavazási időszakát meg lehet hosszabbítani. Egy ideális esettel számoltunk, mely még így is feszített tempót diktált volna.</w:t>
            </w: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20" w:rsidRPr="00196700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A20" w:rsidRPr="0019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FB" w:rsidRDefault="00EA43FB" w:rsidP="00CB3E72">
      <w:pPr>
        <w:spacing w:after="0" w:line="240" w:lineRule="auto"/>
      </w:pPr>
      <w:r>
        <w:separator/>
      </w:r>
    </w:p>
  </w:endnote>
  <w:endnote w:type="continuationSeparator" w:id="0">
    <w:p w:rsidR="00EA43FB" w:rsidRDefault="00EA43FB" w:rsidP="00CB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ont124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FB" w:rsidRDefault="00EA43FB" w:rsidP="00CB3E72">
      <w:pPr>
        <w:spacing w:after="0" w:line="240" w:lineRule="auto"/>
      </w:pPr>
      <w:r>
        <w:separator/>
      </w:r>
    </w:p>
  </w:footnote>
  <w:footnote w:type="continuationSeparator" w:id="0">
    <w:p w:rsidR="00EA43FB" w:rsidRDefault="00EA43FB" w:rsidP="00CB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0"/>
    <w:rsid w:val="000544B6"/>
    <w:rsid w:val="000A0AE7"/>
    <w:rsid w:val="000C4EEE"/>
    <w:rsid w:val="00196700"/>
    <w:rsid w:val="001E6866"/>
    <w:rsid w:val="00216BDC"/>
    <w:rsid w:val="00273E3A"/>
    <w:rsid w:val="002A7A93"/>
    <w:rsid w:val="00395CD7"/>
    <w:rsid w:val="003A4448"/>
    <w:rsid w:val="004954B5"/>
    <w:rsid w:val="005C50F7"/>
    <w:rsid w:val="005D59DF"/>
    <w:rsid w:val="0060552C"/>
    <w:rsid w:val="00612452"/>
    <w:rsid w:val="006416B1"/>
    <w:rsid w:val="006D5024"/>
    <w:rsid w:val="007D1386"/>
    <w:rsid w:val="007E620A"/>
    <w:rsid w:val="0081495F"/>
    <w:rsid w:val="008720EF"/>
    <w:rsid w:val="0087775A"/>
    <w:rsid w:val="008D20F9"/>
    <w:rsid w:val="008F6778"/>
    <w:rsid w:val="00A06811"/>
    <w:rsid w:val="00A13A20"/>
    <w:rsid w:val="00B417F4"/>
    <w:rsid w:val="00BA74C9"/>
    <w:rsid w:val="00CB3E72"/>
    <w:rsid w:val="00CD4578"/>
    <w:rsid w:val="00D50BB6"/>
    <w:rsid w:val="00D53696"/>
    <w:rsid w:val="00E80FA9"/>
    <w:rsid w:val="00E85078"/>
    <w:rsid w:val="00E8698C"/>
    <w:rsid w:val="00EA43FB"/>
    <w:rsid w:val="00EC6D37"/>
    <w:rsid w:val="00F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8A03-71C0-4786-948A-ACE9430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2118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Tamas</cp:lastModifiedBy>
  <cp:revision>2</cp:revision>
  <dcterms:created xsi:type="dcterms:W3CDTF">2014-04-23T22:00:00Z</dcterms:created>
  <dcterms:modified xsi:type="dcterms:W3CDTF">2014-04-23T22:00:00Z</dcterms:modified>
</cp:coreProperties>
</file>