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CA0" w:rsidRDefault="00545992">
      <w:pPr>
        <w:jc w:val="both"/>
      </w:pPr>
      <w:r>
        <w:t>124. §</w:t>
      </w:r>
    </w:p>
    <w:p w:rsidR="00723CA0" w:rsidRDefault="00545992">
      <w:pPr>
        <w:jc w:val="both"/>
      </w:pPr>
      <w:r>
        <w:t>(1) Az Egyetemi Hallgatói Szociális és Ösztöndíjbizottság az intézményi szinten elbírálandó hallgatói ösztöndíj-pályázatok elbírálását végző testület.</w:t>
      </w:r>
    </w:p>
    <w:p w:rsidR="00723CA0" w:rsidRDefault="00545992">
      <w:pPr>
        <w:jc w:val="both"/>
      </w:pPr>
      <w:r>
        <w:rPr>
          <w:b/>
        </w:rPr>
        <w:t>(2 ) Az EHSZÖB elnökét a Szenátus választja.</w:t>
      </w:r>
    </w:p>
    <w:p w:rsidR="00723CA0" w:rsidRDefault="00545992">
      <w:pPr>
        <w:jc w:val="both"/>
      </w:pPr>
      <w:r>
        <w:rPr>
          <w:b/>
        </w:rPr>
        <w:t xml:space="preserve">(3) </w:t>
      </w:r>
      <w:r>
        <w:rPr>
          <w:b/>
        </w:rPr>
        <w:t xml:space="preserve">Az EHSZÖB </w:t>
      </w:r>
      <w:bookmarkStart w:id="0" w:name="OLE_LINK6"/>
      <w:r>
        <w:rPr>
          <w:b/>
        </w:rPr>
        <w:t>tagjainak</w:t>
      </w:r>
      <w:r>
        <w:rPr>
          <w:b/>
        </w:rPr>
        <w:t xml:space="preserve"> </w:t>
      </w:r>
      <w:bookmarkStart w:id="1" w:name="OLE_LINK4"/>
      <w:bookmarkStart w:id="2" w:name="OLE_LINK5"/>
      <w:r>
        <w:rPr>
          <w:b/>
        </w:rPr>
        <w:t>minimum 40-, maximum 60%-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az Egyetemmel közalkalmazotti jogviszonyban álló személyek.</w:t>
      </w:r>
      <w:r>
        <w:rPr>
          <w:b/>
        </w:rPr>
        <w:t xml:space="preserve"> A bizottság további tagjai hallgatói-</w:t>
      </w:r>
      <w:r>
        <w:rPr>
          <w:b/>
        </w:rPr>
        <w:t>/doktoranduszi</w:t>
      </w:r>
      <w:r>
        <w:rPr>
          <w:b/>
        </w:rPr>
        <w:t xml:space="preserve"> jogviszonyban állók</w:t>
      </w:r>
      <w:r>
        <w:rPr>
          <w:b/>
        </w:rPr>
        <w:t xml:space="preserve">. A doktorandusz tagok </w:t>
      </w:r>
      <w:proofErr w:type="gramStart"/>
      <w:r>
        <w:rPr>
          <w:b/>
        </w:rPr>
        <w:t>a  bizottság</w:t>
      </w:r>
      <w:proofErr w:type="gramEnd"/>
      <w:r>
        <w:rPr>
          <w:b/>
        </w:rPr>
        <w:t xml:space="preserve"> maximum 25%-át tehetik ki.</w:t>
      </w:r>
    </w:p>
    <w:bookmarkEnd w:id="0"/>
    <w:bookmarkEnd w:id="1"/>
    <w:bookmarkEnd w:id="2"/>
    <w:p w:rsidR="00723CA0" w:rsidRDefault="00545992">
      <w:pPr>
        <w:jc w:val="both"/>
      </w:pPr>
      <w:r>
        <w:rPr>
          <w:b/>
        </w:rPr>
        <w:t xml:space="preserve">(4) A hallgatói és doktorandusz tagok delegálásáért az Egyetemi HÖK és DÖK, a közalkalmazotti tagok delegálásáért a </w:t>
      </w:r>
      <w:proofErr w:type="gramStart"/>
      <w:r>
        <w:rPr>
          <w:b/>
        </w:rPr>
        <w:t>Rektor felelő</w:t>
      </w:r>
      <w:r>
        <w:rPr>
          <w:b/>
        </w:rPr>
        <w:t>s</w:t>
      </w:r>
      <w:proofErr w:type="gramEnd"/>
      <w:r>
        <w:rPr>
          <w:b/>
        </w:rPr>
        <w:t>.</w:t>
      </w:r>
    </w:p>
    <w:p w:rsidR="00723CA0" w:rsidRDefault="00545992">
      <w:pPr>
        <w:spacing w:line="240" w:lineRule="auto"/>
        <w:jc w:val="both"/>
      </w:pPr>
      <w:r>
        <w:rPr>
          <w:b/>
        </w:rPr>
        <w:t>5) Az EHSZÖB működését az általa kidolgozott, és a Szenátus által jóváhagyott ügyrendje határozza meg.</w:t>
      </w:r>
    </w:p>
    <w:p w:rsidR="00723CA0" w:rsidRDefault="00545992">
      <w:pPr>
        <w:jc w:val="both"/>
      </w:pPr>
      <w:r>
        <w:rPr>
          <w:b/>
        </w:rPr>
        <w:t>(6) Az Ügyrendben rögzített feladatok ellátására az EHSZÖB operatív bizottságot működtethet.</w:t>
      </w:r>
    </w:p>
    <w:p w:rsidR="00723CA0" w:rsidRDefault="00545992">
      <w:pPr>
        <w:jc w:val="both"/>
      </w:pPr>
      <w:r>
        <w:t>(7) Az EHSZÖB által elbírálandó egyetemi pályázatok körét</w:t>
      </w:r>
      <w:r>
        <w:t xml:space="preserve"> jelen Szabályzat, valamint az Oktatásszervezési és Hallgatói Ügyek Bizottsága állapítja meg.</w:t>
      </w:r>
    </w:p>
    <w:p w:rsidR="00723CA0" w:rsidRDefault="00545992">
      <w:pPr>
        <w:spacing w:line="240" w:lineRule="auto"/>
        <w:jc w:val="both"/>
      </w:pPr>
      <w:r>
        <w:rPr>
          <w:b/>
        </w:rPr>
        <w:t>(8) Az EHSZÖB albizottságaiként Kari Ösztöndíj Bizottságok (továbbiakban: KÖB) működnek, melyek a kari szinten elbírálandó hallgatói-ösztöndíj pályázatok elbírálá</w:t>
      </w:r>
      <w:r>
        <w:rPr>
          <w:b/>
        </w:rPr>
        <w:t xml:space="preserve">sát végző testületek. </w:t>
      </w:r>
    </w:p>
    <w:p w:rsidR="00723CA0" w:rsidRDefault="00545992">
      <w:pPr>
        <w:jc w:val="both"/>
      </w:pPr>
      <w:r>
        <w:rPr>
          <w:b/>
        </w:rPr>
        <w:t>(9) A KÖB által elbírálandó kari pályázatok körét jelen Szabályzat határozza meg.</w:t>
      </w:r>
    </w:p>
    <w:p w:rsidR="00723CA0" w:rsidRDefault="00545992">
      <w:pPr>
        <w:spacing w:line="240" w:lineRule="auto"/>
        <w:jc w:val="both"/>
      </w:pPr>
      <w:r>
        <w:rPr>
          <w:b/>
        </w:rPr>
        <w:t>(10) A KÖB elnökét a Kari Tanács választja.</w:t>
      </w:r>
    </w:p>
    <w:p w:rsidR="00545992" w:rsidRDefault="00545992" w:rsidP="00545992">
      <w:pPr>
        <w:jc w:val="both"/>
      </w:pPr>
      <w:r>
        <w:rPr>
          <w:b/>
        </w:rPr>
        <w:t xml:space="preserve">(11) </w:t>
      </w:r>
      <w:bookmarkStart w:id="3" w:name="OLE_LINK7"/>
      <w:bookmarkStart w:id="4" w:name="OLE_LINK8"/>
      <w:r>
        <w:rPr>
          <w:b/>
        </w:rPr>
        <w:t xml:space="preserve">A Bizottság </w:t>
      </w:r>
      <w:r>
        <w:rPr>
          <w:b/>
        </w:rPr>
        <w:t xml:space="preserve">tagjainak </w:t>
      </w:r>
      <w:r>
        <w:rPr>
          <w:b/>
        </w:rPr>
        <w:t xml:space="preserve">minimum 40-, maximum </w:t>
      </w:r>
      <w:r>
        <w:rPr>
          <w:b/>
        </w:rPr>
        <w:t>60%-</w:t>
      </w:r>
      <w:proofErr w:type="gramStart"/>
      <w:r>
        <w:rPr>
          <w:b/>
        </w:rPr>
        <w:t>a</w:t>
      </w:r>
      <w:bookmarkStart w:id="5" w:name="_GoBack"/>
      <w:bookmarkEnd w:id="5"/>
      <w:proofErr w:type="gramEnd"/>
      <w:r>
        <w:rPr>
          <w:b/>
        </w:rPr>
        <w:t xml:space="preserve"> az Egyetemmel közalkalmazotti jogviszonyban álló személyek. A bizottság további tagjai hallgatói-/doktoranduszi jogviszonyban állók.</w:t>
      </w:r>
      <w:r>
        <w:rPr>
          <w:b/>
        </w:rPr>
        <w:t xml:space="preserve"> A doktorandusz tagok a </w:t>
      </w:r>
      <w:r>
        <w:rPr>
          <w:b/>
        </w:rPr>
        <w:t>bizottság maximum 25%-át tehetik ki.</w:t>
      </w:r>
    </w:p>
    <w:bookmarkEnd w:id="3"/>
    <w:bookmarkEnd w:id="4"/>
    <w:p w:rsidR="00723CA0" w:rsidRDefault="00545992" w:rsidP="00545992">
      <w:pPr>
        <w:spacing w:line="240" w:lineRule="auto"/>
        <w:jc w:val="both"/>
      </w:pPr>
      <w:r>
        <w:rPr>
          <w:b/>
        </w:rPr>
        <w:t xml:space="preserve">(12) A hallgatói/doktoranduszi tagok delegálásáért a Kari HÖK és DÖK elnök, míg a </w:t>
      </w:r>
      <w:proofErr w:type="spellStart"/>
      <w:r>
        <w:rPr>
          <w:b/>
        </w:rPr>
        <w:t>közalkalmazottii</w:t>
      </w:r>
      <w:proofErr w:type="spellEnd"/>
      <w:r>
        <w:rPr>
          <w:b/>
        </w:rPr>
        <w:t xml:space="preserve"> tagok delegálásáért a Kar Dékánja felelős.</w:t>
      </w:r>
    </w:p>
    <w:p w:rsidR="00723CA0" w:rsidRDefault="00545992">
      <w:pPr>
        <w:jc w:val="both"/>
      </w:pPr>
      <w:r>
        <w:rPr>
          <w:b/>
        </w:rPr>
        <w:t>(13) A KÖB a Különös részben valamint ügyrendjében rögzítettek szerint, meghatározot</w:t>
      </w:r>
      <w:r>
        <w:rPr>
          <w:b/>
        </w:rPr>
        <w:t>t operatív feladatok elvégzésével megbízhatja a Hallgatói Önkormányzatot, vagy ezek elvégzésére</w:t>
      </w:r>
      <w:r>
        <w:rPr>
          <w:b/>
        </w:rPr>
        <w:t xml:space="preserve"> operatív </w:t>
      </w:r>
      <w:proofErr w:type="spellStart"/>
      <w:proofErr w:type="gramStart"/>
      <w:r>
        <w:rPr>
          <w:b/>
        </w:rPr>
        <w:t>bizottságo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ka</w:t>
      </w:r>
      <w:proofErr w:type="spellEnd"/>
      <w:r>
        <w:rPr>
          <w:b/>
        </w:rPr>
        <w:t>)t működtethet</w:t>
      </w:r>
      <w:r>
        <w:rPr>
          <w:b/>
        </w:rPr>
        <w:t xml:space="preserve">. </w:t>
      </w:r>
    </w:p>
    <w:p w:rsidR="00723CA0" w:rsidRDefault="00723CA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05"/>
        <w:gridCol w:w="3135"/>
        <w:gridCol w:w="3120"/>
      </w:tblGrid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>Eredeti szöveg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>Módosított szöveg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Indoklás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>124. §</w:t>
            </w:r>
          </w:p>
          <w:p w:rsidR="00723CA0" w:rsidRDefault="00545992">
            <w:r>
              <w:t>(1) Az Egyetemi Hallgatói Szociális és Ösztöndíjbizottság az intézményi szinten elbírálandó hallgatói ösztöndíj-pályázatok elbírálását végző testület.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>124. §</w:t>
            </w:r>
          </w:p>
          <w:p w:rsidR="00723CA0" w:rsidRDefault="00545992">
            <w:r>
              <w:t>(1) Az Egyetemi Hallgatói Szociális és Ösztöndíjbizottság az intézményi szinten elbírálandó hallga</w:t>
            </w:r>
            <w:r>
              <w:t>tói ösztöndíj-pályázatok elbírálását végző testület.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 xml:space="preserve">(2) Az EHSZÖB tagjai az EHÖK Szociális és Ösztöndíjbizottságának tagjai, az EDÖK által delegált egy fő, valamint az oktatásért </w:t>
            </w:r>
            <w:r>
              <w:lastRenderedPageBreak/>
              <w:t xml:space="preserve">felelős </w:t>
            </w:r>
            <w:proofErr w:type="spellStart"/>
            <w:r>
              <w:t>rektorhelyettes</w:t>
            </w:r>
            <w:proofErr w:type="spellEnd"/>
            <w:r>
              <w:t xml:space="preserve"> által delegált egy fő, az Egyetemmel közalkalmazot</w:t>
            </w:r>
            <w:r>
              <w:t>ti jogviszonyban álló személy, elnöke az EHÖK szociális</w:t>
            </w:r>
          </w:p>
          <w:p w:rsidR="00723CA0" w:rsidRDefault="00545992">
            <w:r>
              <w:t xml:space="preserve">alelnöke.(2) Az EHSZÖB tagjai az EHÖK Szociális és Ösztöndíjbizottságának tagjai, az EDÖK által delegált egy fő, valamint az oktatásért felelős </w:t>
            </w:r>
            <w:proofErr w:type="spellStart"/>
            <w:r>
              <w:t>rektorhelyettes</w:t>
            </w:r>
            <w:proofErr w:type="spellEnd"/>
            <w:r>
              <w:t xml:space="preserve"> által delegált egy fő, az Egyetemmel köz</w:t>
            </w:r>
            <w:r>
              <w:t>alkalmazotti jogviszonyban álló személy, elnöke az EHÖK szociális</w:t>
            </w:r>
          </w:p>
          <w:p w:rsidR="00723CA0" w:rsidRDefault="00545992">
            <w:r>
              <w:t>alelnöke.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lastRenderedPageBreak/>
              <w:t>(2)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trike/>
              </w:rPr>
              <w:t xml:space="preserve">Az EHSZÖB tagjai az EHÖK Szociális és Ösztöndíjbizottságának tagjai, az EDÖK által delegált egy fő, valamint az oktatásért </w:t>
            </w:r>
            <w:r>
              <w:rPr>
                <w:strike/>
              </w:rPr>
              <w:lastRenderedPageBreak/>
              <w:t xml:space="preserve">felelős </w:t>
            </w:r>
            <w:proofErr w:type="spellStart"/>
            <w:r>
              <w:rPr>
                <w:strike/>
              </w:rPr>
              <w:t>rektorhelyettes</w:t>
            </w:r>
            <w:proofErr w:type="spellEnd"/>
            <w:r>
              <w:rPr>
                <w:strike/>
              </w:rPr>
              <w:t xml:space="preserve"> által delegált egy fő, az Egy</w:t>
            </w:r>
            <w:r>
              <w:rPr>
                <w:strike/>
              </w:rPr>
              <w:t>etemmel közalkalmazotti jogviszonyban álló személy, elnöke az EHÖK szociális</w:t>
            </w:r>
          </w:p>
          <w:p w:rsidR="00723CA0" w:rsidRDefault="00545992">
            <w:r>
              <w:rPr>
                <w:strike/>
              </w:rPr>
              <w:t>alelnöke.</w:t>
            </w:r>
          </w:p>
          <w:p w:rsidR="00723CA0" w:rsidRDefault="00545992">
            <w:r>
              <w:rPr>
                <w:b/>
                <w:color w:val="FF0000"/>
              </w:rPr>
              <w:t>Az EHSZÖB elnökét a Szenátus választja.</w:t>
            </w:r>
          </w:p>
          <w:p w:rsidR="00723CA0" w:rsidRDefault="00545992" w:rsidP="00545992">
            <w:r>
              <w:t xml:space="preserve">(3) </w:t>
            </w:r>
            <w:r>
              <w:rPr>
                <w:b/>
                <w:color w:val="FF0000"/>
              </w:rPr>
              <w:t>Az EHSZÖB t</w:t>
            </w:r>
            <w:r w:rsidRPr="00545992">
              <w:rPr>
                <w:b/>
                <w:color w:val="FF0000"/>
              </w:rPr>
              <w:t xml:space="preserve">agjainak minimum 40-, maximum </w:t>
            </w:r>
            <w:r>
              <w:rPr>
                <w:b/>
                <w:color w:val="FF0000"/>
              </w:rPr>
              <w:t>60%-</w:t>
            </w:r>
            <w:proofErr w:type="gramStart"/>
            <w:r>
              <w:rPr>
                <w:b/>
                <w:color w:val="FF0000"/>
              </w:rPr>
              <w:t>a</w:t>
            </w:r>
            <w:proofErr w:type="gramEnd"/>
            <w:r w:rsidRPr="00545992">
              <w:rPr>
                <w:b/>
                <w:color w:val="FF0000"/>
              </w:rPr>
              <w:t xml:space="preserve"> az Egyetemmel </w:t>
            </w:r>
            <w:r w:rsidRPr="00545992">
              <w:rPr>
                <w:b/>
                <w:color w:val="FF0000"/>
              </w:rPr>
              <w:t>k</w:t>
            </w:r>
            <w:r w:rsidRPr="00545992">
              <w:rPr>
                <w:b/>
                <w:color w:val="FF0000"/>
              </w:rPr>
              <w:t>özalkalmazotti jogviszonyban álló személyek. A bizottság további tagjai hallgatói-/doktoranduszi jogviszonyban állók.</w:t>
            </w:r>
            <w:r>
              <w:rPr>
                <w:b/>
                <w:color w:val="FF0000"/>
              </w:rPr>
              <w:t xml:space="preserve"> A doktorandusz tagok a </w:t>
            </w:r>
            <w:r w:rsidRPr="00545992">
              <w:rPr>
                <w:b/>
                <w:color w:val="FF0000"/>
              </w:rPr>
              <w:t>bizottság maximum 25%-át tehetik ki.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/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rPr>
                <w:b/>
                <w:color w:val="FF0000"/>
              </w:rPr>
              <w:t xml:space="preserve">(4) A hallgatói/doktorandusz tagok delegálásáért az Egyetemi HÖK és DÖK, a közalkalmazotti tagok delegálásáért a </w:t>
            </w:r>
            <w:proofErr w:type="gramStart"/>
            <w:r>
              <w:rPr>
                <w:b/>
                <w:color w:val="FF0000"/>
              </w:rPr>
              <w:t>Rektor felelős</w:t>
            </w:r>
            <w:proofErr w:type="gramEnd"/>
            <w:r>
              <w:rPr>
                <w:b/>
                <w:color w:val="FF0000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(3) Az EHSZÖB ügyrendjét maga határozza meg.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strike/>
              </w:rPr>
              <w:t>(3)</w:t>
            </w:r>
            <w:r>
              <w:t xml:space="preserve"> </w:t>
            </w:r>
            <w:r>
              <w:rPr>
                <w:b/>
                <w:color w:val="FF0000"/>
              </w:rPr>
              <w:t xml:space="preserve">(5) </w:t>
            </w:r>
            <w:r>
              <w:t xml:space="preserve">Az EHSZÖB </w:t>
            </w:r>
            <w:r>
              <w:rPr>
                <w:strike/>
              </w:rPr>
              <w:t xml:space="preserve">ügyrendjét maga határozza </w:t>
            </w:r>
            <w:proofErr w:type="gramStart"/>
            <w:r>
              <w:rPr>
                <w:strike/>
              </w:rPr>
              <w:t xml:space="preserve">meg </w:t>
            </w:r>
            <w:r>
              <w:rPr>
                <w:b/>
                <w:color w:val="FF0000"/>
              </w:rPr>
              <w:t xml:space="preserve"> működését</w:t>
            </w:r>
            <w:proofErr w:type="gramEnd"/>
            <w:r>
              <w:rPr>
                <w:b/>
                <w:color w:val="FF0000"/>
              </w:rPr>
              <w:t xml:space="preserve"> az általa kidolgozott, és a Szenátus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által jóváhagyott ügyrendje határozza meg.</w:t>
            </w:r>
          </w:p>
          <w:p w:rsidR="00723CA0" w:rsidRDefault="00545992">
            <w:r>
              <w:rPr>
                <w:b/>
                <w:color w:val="FF0000"/>
              </w:rPr>
              <w:t>(6) Az Ügyrendben rögzített feladatok ellátására az EHSZÖB operatív bizottságot működtethet.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A Bizottság működését meghatározó szabályokat eddig a Bizottság maga hat</w:t>
            </w:r>
            <w:r>
              <w:t>ározta meg, a továbbiakban ezt a Szenátusnak jóvá kell hagynia.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t xml:space="preserve">(4) Az EHSZÖB által elbírálandó egyetemi pályázatok körét jelen Szabályzat, valamint az Oktatásszervezési és </w:t>
            </w:r>
            <w:r>
              <w:lastRenderedPageBreak/>
              <w:t>Hallgatói Ügyek Bizottsága állapítja meg.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r>
              <w:lastRenderedPageBreak/>
              <w:t>(7) Az EHSZÖB által elbírálandó egyetemi</w:t>
            </w:r>
            <w:r>
              <w:t xml:space="preserve"> pályázatok körét jelen Szabályzat, valamint az Oktatásszervezési és </w:t>
            </w:r>
            <w:r>
              <w:lastRenderedPageBreak/>
              <w:t>Hallgatói Ügyek Bizottsága állapítja meg.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lastRenderedPageBreak/>
              <w:t xml:space="preserve">(5) Az EHSZÖB kari albizottságokat </w:t>
            </w:r>
            <w:proofErr w:type="gramStart"/>
            <w:r>
              <w:t>működtet ,</w:t>
            </w:r>
            <w:proofErr w:type="gramEnd"/>
            <w:r>
              <w:t xml:space="preserve"> amelyek összetételét a Különös rész egyes karokra vonatkozó fejezetei tartalmazzák.</w:t>
            </w:r>
          </w:p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(8) Az EHSZÖ</w:t>
            </w:r>
            <w:r>
              <w:t xml:space="preserve">B </w:t>
            </w:r>
            <w:r>
              <w:rPr>
                <w:strike/>
              </w:rPr>
              <w:t xml:space="preserve">kari albizottságokat </w:t>
            </w:r>
            <w:proofErr w:type="gramStart"/>
            <w:r>
              <w:rPr>
                <w:strike/>
              </w:rPr>
              <w:t>működtet</w:t>
            </w:r>
            <w:proofErr w:type="gramEnd"/>
            <w:r>
              <w:rPr>
                <w:strike/>
              </w:rPr>
              <w:t xml:space="preserve"> amelyek összetételét a Különös rész egyes karokra vonatkozó fejezetei tartalmazzák.</w:t>
            </w:r>
            <w:r>
              <w:rPr>
                <w:b/>
                <w:strike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albizottságaiként Kari Ösztöndíj Bizottságok (továbbiakban: KÖB) működnek, melyek a kari szinten elbírálandó hallgatói-ösztöndíj pályázatok </w:t>
            </w:r>
            <w:r>
              <w:rPr>
                <w:b/>
                <w:color w:val="FF0000"/>
              </w:rPr>
              <w:t>elbírálását végző testületek.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Karonként egységesen Kari Ösztöndíj Bizottság elnevezés.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(9) A KÖB által elbírálandó kari pályázatok körét jelen Szabályzat határozza meg.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A hatáskörükbe tartozó pályázatokat szabályzati szinten szeretnénk rögzíteni.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(10) A KÖB elnökét a Kari Tanács választja.</w:t>
            </w:r>
          </w:p>
          <w:p w:rsidR="00723CA0" w:rsidRDefault="00545992" w:rsidP="00545992">
            <w:r>
              <w:rPr>
                <w:b/>
                <w:color w:val="FF0000"/>
              </w:rPr>
              <w:t xml:space="preserve">(11) </w:t>
            </w:r>
            <w:r w:rsidRPr="00545992">
              <w:rPr>
                <w:b/>
                <w:color w:val="FF0000"/>
              </w:rPr>
              <w:t>A Bizottság tagjainak minimum 40-, maximum 60%-</w:t>
            </w:r>
            <w:proofErr w:type="gramStart"/>
            <w:r w:rsidRPr="00545992">
              <w:rPr>
                <w:b/>
                <w:color w:val="FF0000"/>
              </w:rPr>
              <w:t>a</w:t>
            </w:r>
            <w:proofErr w:type="gramEnd"/>
            <w:r w:rsidRPr="00545992">
              <w:rPr>
                <w:b/>
                <w:color w:val="FF0000"/>
              </w:rPr>
              <w:t xml:space="preserve"> az Egyetemmel közalkalmazotti jogviszonyban álló személyek. A bizottság további tagjai hallgatói-/doktoranduszi jogviszonyban állók. A doktorandusz tagok a bizottság maximum 25%-át tehetik ki.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(12) A hallgatói/doktoranduszi tagok delegálásáért a Kari HÖK és DÖK elnök, mí</w:t>
            </w:r>
            <w:r>
              <w:rPr>
                <w:b/>
                <w:color w:val="FF0000"/>
              </w:rPr>
              <w:t>g a közalkalmazotti tagok delegálásáért a Kar Dékánja felelős.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(13) A KÖB a Különös részben valamint ügyrendjében rögzítettek </w:t>
            </w:r>
            <w:r>
              <w:rPr>
                <w:b/>
                <w:color w:val="FF0000"/>
              </w:rPr>
              <w:lastRenderedPageBreak/>
              <w:t xml:space="preserve">szerint, meghatározott feladatok elvégzésére operatív </w:t>
            </w:r>
            <w:proofErr w:type="spellStart"/>
            <w:proofErr w:type="gramStart"/>
            <w:r>
              <w:rPr>
                <w:b/>
                <w:color w:val="FF0000"/>
              </w:rPr>
              <w:t>bizottságo</w:t>
            </w:r>
            <w:proofErr w:type="spellEnd"/>
            <w:r>
              <w:rPr>
                <w:b/>
                <w:color w:val="FF0000"/>
              </w:rPr>
              <w:t>(</w:t>
            </w:r>
            <w:proofErr w:type="spellStart"/>
            <w:proofErr w:type="gramEnd"/>
            <w:r>
              <w:rPr>
                <w:b/>
                <w:color w:val="FF0000"/>
              </w:rPr>
              <w:t>ka</w:t>
            </w:r>
            <w:proofErr w:type="spellEnd"/>
            <w:r>
              <w:rPr>
                <w:b/>
                <w:color w:val="FF0000"/>
              </w:rPr>
              <w:t xml:space="preserve">)t működtethet.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</w:tbl>
    <w:p w:rsidR="00723CA0" w:rsidRDefault="00545992">
      <w:r>
        <w:rPr>
          <w:b/>
        </w:rPr>
        <w:lastRenderedPageBreak/>
        <w:t>HÖK elnök az elnökségi közéletin kívül má</w:t>
      </w:r>
      <w:r>
        <w:rPr>
          <w:b/>
        </w:rPr>
        <w:t>s közéletit nem kaphat</w:t>
      </w:r>
    </w:p>
    <w:p w:rsidR="00723CA0" w:rsidRDefault="00545992">
      <w:proofErr w:type="gramStart"/>
      <w:r>
        <w:rPr>
          <w:b/>
        </w:rPr>
        <w:t>a</w:t>
      </w:r>
      <w:proofErr w:type="gramEnd"/>
      <w:r>
        <w:rPr>
          <w:b/>
        </w:rPr>
        <w:t xml:space="preserve"> közéleti </w:t>
      </w:r>
      <w:proofErr w:type="spellStart"/>
      <w:r>
        <w:rPr>
          <w:b/>
        </w:rPr>
        <w:t>ösztöndjí</w:t>
      </w:r>
      <w:proofErr w:type="spellEnd"/>
      <w:r>
        <w:rPr>
          <w:b/>
        </w:rPr>
        <w:t xml:space="preserve"> egy személy által kapható havi maximuma….</w:t>
      </w:r>
    </w:p>
    <w:p w:rsidR="00723CA0" w:rsidRDefault="00723CA0"/>
    <w:p w:rsidR="00723CA0" w:rsidRDefault="00545992">
      <w:r>
        <w:rPr>
          <w:b/>
        </w:rPr>
        <w:t>101. §</w:t>
      </w:r>
    </w:p>
    <w:p w:rsidR="00723CA0" w:rsidRDefault="00545992">
      <w:pPr>
        <w:spacing w:line="240" w:lineRule="auto"/>
      </w:pPr>
      <w:r>
        <w:t xml:space="preserve">(1) A kari közéleti ösztöndíjat a kari hallgatói önkormányzat választott tisztségviselője kaphat, a tisztség betöltésének idejére, </w:t>
      </w:r>
      <w:r>
        <w:rPr>
          <w:b/>
          <w:color w:val="FF0000"/>
        </w:rPr>
        <w:t>illetve pályázat alapján a kari</w:t>
      </w:r>
      <w:r>
        <w:rPr>
          <w:b/>
          <w:color w:val="FF0000"/>
        </w:rPr>
        <w:t xml:space="preserve"> közéletben kiemelkedő, a tantervi követelményeken túlmutató tevékenységet végző hallgató kaphat. </w:t>
      </w:r>
    </w:p>
    <w:p w:rsidR="00723CA0" w:rsidRDefault="00723CA0">
      <w:pPr>
        <w:spacing w:line="240" w:lineRule="auto"/>
      </w:pPr>
    </w:p>
    <w:p w:rsidR="00723CA0" w:rsidRDefault="00545992">
      <w:pPr>
        <w:spacing w:line="240" w:lineRule="auto"/>
      </w:pPr>
      <w:r>
        <w:rPr>
          <w:b/>
          <w:color w:val="FF0000"/>
        </w:rPr>
        <w:t>(4) A Kari Hallgatói Önkormányzat elnöke a tisztségéért járó kari közéleti ösztöndíjon kívül egyéb közéleti ösztöndíjban nem részesülhet.</w:t>
      </w:r>
    </w:p>
    <w:p w:rsidR="00723CA0" w:rsidRDefault="00723CA0">
      <w:pPr>
        <w:spacing w:line="240" w:lineRule="auto"/>
      </w:pPr>
    </w:p>
    <w:p w:rsidR="00723CA0" w:rsidRDefault="00545992">
      <w:pPr>
        <w:spacing w:line="240" w:lineRule="auto"/>
      </w:pPr>
      <w:r>
        <w:rPr>
          <w:b/>
        </w:rPr>
        <w:t xml:space="preserve">102. § </w:t>
      </w:r>
    </w:p>
    <w:p w:rsidR="00723CA0" w:rsidRDefault="00545992">
      <w:pPr>
        <w:spacing w:line="240" w:lineRule="auto"/>
        <w:jc w:val="both"/>
      </w:pPr>
      <w:r>
        <w:rPr>
          <w:b/>
        </w:rPr>
        <w:t xml:space="preserve">(4) </w:t>
      </w:r>
      <w:r>
        <w:rPr>
          <w:b/>
          <w:color w:val="FF0000"/>
        </w:rPr>
        <w:t>Az Egyetemi (Kollégiumi) Hallgatói Önkormányzat elnöke a tisztségéért járó egyetemi közéleti ösztöndíjon kívül egyéb közéleti ösztöndíjban nem részesülhet.</w:t>
      </w:r>
    </w:p>
    <w:p w:rsidR="00723CA0" w:rsidRDefault="00545992">
      <w:pPr>
        <w:spacing w:line="240" w:lineRule="auto"/>
        <w:jc w:val="both"/>
      </w:pPr>
      <w:r>
        <w:rPr>
          <w:b/>
          <w:color w:val="FF0000"/>
        </w:rPr>
        <w:t xml:space="preserve">(5) Egy személy által kapható kari és egyetemi közéleti ösztöndíjak együttes havi összege nem lehet </w:t>
      </w:r>
      <w:r>
        <w:rPr>
          <w:b/>
          <w:color w:val="FF0000"/>
        </w:rPr>
        <w:t>magasabb a KSH által legutoljára megállapított létminimum egy fogyasztási egységre számított havi összegénél.</w:t>
      </w:r>
    </w:p>
    <w:p w:rsidR="00723CA0" w:rsidRDefault="00723CA0">
      <w:pPr>
        <w:spacing w:line="240" w:lineRule="auto"/>
      </w:pPr>
    </w:p>
    <w:p w:rsidR="00723CA0" w:rsidRDefault="00723CA0">
      <w:pPr>
        <w:spacing w:line="240" w:lineRule="auto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Eredeti szöveg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Módosított szöveg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</w:rPr>
              <w:t>Indoklás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101. §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(1) A kari közéleti ösztöndíjat a kari hallgatói önkormányzat választott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tisztségviselője kaph</w:t>
            </w:r>
            <w:r>
              <w:t>at, a tisztség betöltésének idejére.</w:t>
            </w:r>
          </w:p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101. §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(1) A kari közéleti ösztöndíjat a kari hallgatói önkormányzat választott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 xml:space="preserve">tisztségviselője kaphat, a tisztség betöltésének idejére, </w:t>
            </w:r>
            <w:r>
              <w:rPr>
                <w:b/>
                <w:color w:val="FF0000"/>
              </w:rPr>
              <w:t>illetve pályázat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alapján a kari közéletben kiemelkedő, a tantervi követelményeken túlmutató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tevékenységet végző hallgató kaphat.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 xml:space="preserve">A Közéleti ösztöndíj pályázói körének kiterjesztése. A továbbiakban nem csak a HÖK tisztségviselői, hanem bármely közéleti tevékenységet végző </w:t>
            </w:r>
            <w:r>
              <w:t>hallgató részesülhetne ösztöndíjban.</w:t>
            </w: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(4) A Kari Hallgatói Önkormányzat elnöke a tisztségéért járó kari közéleti ösztöndíjon kívül egyéb közéleti ösztöndíjban nem részesülhet.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</w:rPr>
              <w:t>102. § (4)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Az Egyetemi (Kollégiumi) Hallgatói Önkormányzat </w:t>
            </w:r>
            <w:r>
              <w:rPr>
                <w:b/>
                <w:color w:val="FF0000"/>
              </w:rPr>
              <w:lastRenderedPageBreak/>
              <w:t>elnöke a tisztség</w:t>
            </w:r>
            <w:r>
              <w:rPr>
                <w:b/>
                <w:color w:val="FF0000"/>
              </w:rPr>
              <w:t>éért járó egyetemi közéleti ösztöndíjon kívül egyéb közéleti ösztöndíjban nem részesülhet.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(5) Egy személy által kapható kari és egyetemi közéleti ösztöndíjak együttes havi összege nem lehet magasabb a KSH által legutoljára megállapított létminimum egy </w:t>
            </w:r>
            <w:r>
              <w:rPr>
                <w:b/>
                <w:color w:val="FF0000"/>
              </w:rPr>
              <w:t>fogyasztási egységre számított havi összegénél.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</w:tbl>
    <w:p w:rsidR="00723CA0" w:rsidRDefault="00723CA0"/>
    <w:p w:rsidR="00723CA0" w:rsidRDefault="00723CA0"/>
    <w:p w:rsidR="00723CA0" w:rsidRDefault="00545992">
      <w:r>
        <w:t>KHTEÖ megszüntetés</w:t>
      </w:r>
    </w:p>
    <w:p w:rsidR="00723CA0" w:rsidRDefault="00723CA0"/>
    <w:p w:rsidR="00723CA0" w:rsidRDefault="00545992">
      <w:proofErr w:type="gramStart"/>
      <w:r>
        <w:t>sok</w:t>
      </w:r>
      <w:proofErr w:type="gramEnd"/>
      <w:r>
        <w:t xml:space="preserve"> helyen egyszerűen ki kell törölni, hogy ilyen létezik, az egyetlen érdemi változtatás itt szükséges, a KHTEÖ keret áthelyezését illetően:</w:t>
      </w:r>
    </w:p>
    <w:p w:rsidR="00723CA0" w:rsidRDefault="00723CA0"/>
    <w:p w:rsidR="00723CA0" w:rsidRDefault="00545992">
      <w:pPr>
        <w:spacing w:line="240" w:lineRule="auto"/>
      </w:pPr>
      <w:r>
        <w:t>92. § (3) Az államilag támogatott/magyar állami (rész</w:t>
      </w:r>
      <w:proofErr w:type="gramStart"/>
      <w:r>
        <w:t>)ösztöndíjas</w:t>
      </w:r>
      <w:proofErr w:type="gramEnd"/>
      <w:r>
        <w:t xml:space="preserve"> alap-, mester-, osztatlan képzésben, egyetemi és főiskolai szintű képzésben, felsőoktatási szakképzésben,</w:t>
      </w:r>
    </w:p>
    <w:p w:rsidR="00723CA0" w:rsidRDefault="00545992">
      <w:pPr>
        <w:spacing w:line="240" w:lineRule="auto"/>
      </w:pPr>
      <w:proofErr w:type="gramStart"/>
      <w:r>
        <w:t>valamint</w:t>
      </w:r>
      <w:proofErr w:type="gramEnd"/>
      <w:r>
        <w:t xml:space="preserve"> felsőfokú szakképzésben teljes idejű képzésben részt vevő hallgatók után ka</w:t>
      </w:r>
      <w:r>
        <w:t>pott</w:t>
      </w:r>
    </w:p>
    <w:p w:rsidR="00723CA0" w:rsidRDefault="00545992">
      <w:pPr>
        <w:spacing w:line="240" w:lineRule="auto"/>
      </w:pPr>
      <w:proofErr w:type="gramStart"/>
      <w:r>
        <w:t>hallgatói</w:t>
      </w:r>
      <w:proofErr w:type="gramEnd"/>
      <w:r>
        <w:t xml:space="preserve"> ösztöndíj támogatás</w:t>
      </w:r>
    </w:p>
    <w:p w:rsidR="00723CA0" w:rsidRDefault="00545992">
      <w:pPr>
        <w:spacing w:line="240" w:lineRule="auto"/>
      </w:pPr>
      <w:proofErr w:type="gramStart"/>
      <w:r>
        <w:t>a</w:t>
      </w:r>
      <w:proofErr w:type="gramEnd"/>
      <w:r>
        <w:t xml:space="preserve">) </w:t>
      </w:r>
      <w:r>
        <w:rPr>
          <w:b/>
          <w:color w:val="FF0000"/>
        </w:rPr>
        <w:t>3</w:t>
      </w:r>
      <w:r>
        <w:t>%-át a hallgatói önkormányzat működésének támogatására,</w:t>
      </w:r>
    </w:p>
    <w:p w:rsidR="00723CA0" w:rsidRDefault="00545992">
      <w:pPr>
        <w:spacing w:line="240" w:lineRule="auto"/>
      </w:pPr>
      <w:r>
        <w:t>b) 53 %-át tanulmányi ösztöndíjra,</w:t>
      </w:r>
    </w:p>
    <w:p w:rsidR="00723CA0" w:rsidRDefault="00545992">
      <w:pPr>
        <w:spacing w:line="240" w:lineRule="auto"/>
      </w:pPr>
      <w:r>
        <w:t xml:space="preserve">c) </w:t>
      </w:r>
      <w:r>
        <w:rPr>
          <w:b/>
          <w:color w:val="FF0000"/>
        </w:rPr>
        <w:t xml:space="preserve">14 </w:t>
      </w:r>
      <w:r>
        <w:t xml:space="preserve">%-át intézményi szakmai tudományos és közéleti ösztöndíjra, </w:t>
      </w:r>
    </w:p>
    <w:p w:rsidR="00723CA0" w:rsidRDefault="00545992">
      <w:pPr>
        <w:spacing w:line="240" w:lineRule="auto"/>
      </w:pPr>
      <w:r>
        <w:t>d) 30 %-át szociális alapú ösztöndíjra kell felhasználni.</w:t>
      </w:r>
    </w:p>
    <w:p w:rsidR="00723CA0" w:rsidRDefault="00723CA0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 xml:space="preserve">90. § (6) Az </w:t>
            </w:r>
            <w:proofErr w:type="spellStart"/>
            <w:r>
              <w:t>Nftv</w:t>
            </w:r>
            <w:proofErr w:type="spellEnd"/>
            <w:r>
              <w:t xml:space="preserve">. 85/C. § </w:t>
            </w:r>
            <w:proofErr w:type="spellStart"/>
            <w:r>
              <w:t>ee</w:t>
            </w:r>
            <w:proofErr w:type="spellEnd"/>
            <w:r>
              <w:t>) alpontja szerinti kari és egyetemi kiemelkedő hallgatói teljesítmény egyszeri ösztöndíja, illetve kari egyszeri támogatás és a Jó tanuló, jó sportoló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hallgatói ösztöndíj.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 xml:space="preserve">90. § (6) Az </w:t>
            </w:r>
            <w:proofErr w:type="spellStart"/>
            <w:r>
              <w:t>Nftv</w:t>
            </w:r>
            <w:proofErr w:type="spellEnd"/>
            <w:r>
              <w:t xml:space="preserve">. 85/C. § </w:t>
            </w:r>
            <w:proofErr w:type="spellStart"/>
            <w:r>
              <w:t>ee</w:t>
            </w:r>
            <w:proofErr w:type="spellEnd"/>
            <w:r>
              <w:t>) alpontja szerinti</w:t>
            </w:r>
            <w:r>
              <w:rPr>
                <w:strike/>
              </w:rPr>
              <w:t xml:space="preserve"> kari </w:t>
            </w:r>
            <w:r>
              <w:rPr>
                <w:strike/>
              </w:rPr>
              <w:t>és egyetemi kiemelkedő hallgatói teljesítmény egyszeri ösztöndíja, illetve kari egyszeri támogatás és</w:t>
            </w:r>
            <w:r>
              <w:t xml:space="preserve"> a Jó tanuló, jó sportoló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hallgatói ösztöndíj.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  <w:tr w:rsidR="0072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t>91. § h) hallgatói önkormányzat működésének támogatása,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ha) EHÖK működési támogatása,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t>hb</w:t>
            </w:r>
            <w:proofErr w:type="spellEnd"/>
            <w:r>
              <w:t>) Egyetemi Doktorandusz Önkormányzat (a továbbiakban: EDÖK)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lastRenderedPageBreak/>
              <w:t>működési támogatása,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t>hc</w:t>
            </w:r>
            <w:proofErr w:type="spellEnd"/>
            <w:r>
              <w:t>) kari és egyetemi kiemelkedő hallgatói teljesítmény egyszeri ösztöndíja,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hd</w:t>
            </w:r>
            <w:proofErr w:type="spellEnd"/>
            <w:r>
              <w:t xml:space="preserve">) Jó tanuló, jó sportoló hallgatói ösztöndíj. 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92. § (3) Az államilag támogatott/magyar állami (rész</w:t>
            </w:r>
            <w:proofErr w:type="gramStart"/>
            <w:r>
              <w:t>)ösztöndíjas</w:t>
            </w:r>
            <w:proofErr w:type="gramEnd"/>
            <w:r>
              <w:t xml:space="preserve"> alap-, mester-, osztatlan képzésben, egyetemi és főiskolai szintű képzésben, felsőoktatási szakképzésben,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valamint felsőfokú szakképzésben teljes idejű képzésben részt vevő hallgatók után ka</w:t>
            </w:r>
            <w:r>
              <w:t>pott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hallgatói ösztöndíj támogatás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a) 6 % az intézményi működési költségek finanszírozására,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t>aa</w:t>
            </w:r>
            <w:proofErr w:type="spellEnd"/>
            <w:r>
              <w:t>) 4 %-át kari és egyetemi kiemelkedő hallgatói teljesítmény egyszeri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ösztöndíja, illetve kari egyszeri támogatásra,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ab) 2%-át a hallgatói önkormányzat működéséne</w:t>
            </w:r>
            <w:r>
              <w:t>k támogatására,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b) 53 %-át tanulmányi ösztöndíjra,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 xml:space="preserve">c) 11 %-át intézményi szakmai tudományos és közéleti ösztöndíjra, 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d) 30 %-át szociális alapú ösztöndíjra kell felhasználni.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545992">
            <w:pPr>
              <w:widowControl w:val="0"/>
              <w:spacing w:line="240" w:lineRule="auto"/>
            </w:pPr>
            <w:r>
              <w:lastRenderedPageBreak/>
              <w:t>91. § h) hallgatói önkormányzat működésének támogatása,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ha) EHÖK működési támoga</w:t>
            </w:r>
            <w:r>
              <w:t>tása,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t>hb</w:t>
            </w:r>
            <w:proofErr w:type="spellEnd"/>
            <w:r>
              <w:t>) Egyetemi Doktorandusz Önkormányzat (a továbbiakban: EDÖK)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lastRenderedPageBreak/>
              <w:t>működési támogatása,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rPr>
                <w:strike/>
              </w:rPr>
              <w:t>hc</w:t>
            </w:r>
            <w:proofErr w:type="spellEnd"/>
            <w:r>
              <w:rPr>
                <w:strike/>
              </w:rPr>
              <w:t>) kari és egyetemi kiemelkedő hallgatói teljesítmény egyszeri ösztöndíja,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hd</w:t>
            </w:r>
            <w:proofErr w:type="spellEnd"/>
            <w:r>
              <w:rPr>
                <w:strike/>
              </w:rPr>
              <w:t>)</w:t>
            </w:r>
            <w:r>
              <w:t xml:space="preserve"> </w:t>
            </w:r>
            <w:proofErr w:type="spellStart"/>
            <w:r>
              <w:rPr>
                <w:b/>
                <w:color w:val="FF0000"/>
              </w:rPr>
              <w:t>hc</w:t>
            </w:r>
            <w:proofErr w:type="spellEnd"/>
            <w:r>
              <w:rPr>
                <w:b/>
                <w:color w:val="FF0000"/>
              </w:rPr>
              <w:t xml:space="preserve">) </w:t>
            </w:r>
            <w:r>
              <w:t xml:space="preserve">Jó tanuló, jó sportoló hallgatói ösztöndíj. 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92. § (3) Az államilag támogatott/mag</w:t>
            </w:r>
            <w:r>
              <w:t>yar állami (rész</w:t>
            </w:r>
            <w:proofErr w:type="gramStart"/>
            <w:r>
              <w:t>)ösztöndíjas</w:t>
            </w:r>
            <w:proofErr w:type="gramEnd"/>
            <w:r>
              <w:t xml:space="preserve"> alap-, mester-, osztatlan képzésben, egyetemi és főiskolai szintű képzésben, felsőoktatási szakképzésben,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valamint felsőfokú szakképzésben teljes idejű képzésben részt vevő hallgatók után kapott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hallgatói ösztöndíj támogatás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strike/>
              </w:rPr>
              <w:t>a)</w:t>
            </w:r>
            <w:r>
              <w:rPr>
                <w:strike/>
              </w:rPr>
              <w:t xml:space="preserve"> 6 % az intézményi működési költségek finanszírozására,</w:t>
            </w:r>
          </w:p>
          <w:p w:rsidR="00723CA0" w:rsidRDefault="00545992">
            <w:pPr>
              <w:widowControl w:val="0"/>
              <w:spacing w:line="240" w:lineRule="auto"/>
            </w:pPr>
            <w:proofErr w:type="spellStart"/>
            <w:r>
              <w:rPr>
                <w:strike/>
              </w:rPr>
              <w:t>aa</w:t>
            </w:r>
            <w:proofErr w:type="spellEnd"/>
            <w:r>
              <w:rPr>
                <w:strike/>
              </w:rPr>
              <w:t>) 4 %-át kari és egyetemi kiemelkedő hallgatói teljesítmény egyszeri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rPr>
                <w:strike/>
              </w:rPr>
              <w:t>ösztöndíja, illetve kari egyszeri támogatásra,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a</w:t>
            </w:r>
            <w:r>
              <w:rPr>
                <w:strike/>
              </w:rPr>
              <w:t>b</w:t>
            </w:r>
            <w:r>
              <w:t xml:space="preserve">) </w:t>
            </w:r>
            <w:r>
              <w:rPr>
                <w:strike/>
              </w:rPr>
              <w:t>2</w:t>
            </w:r>
            <w:r>
              <w:t xml:space="preserve"> </w:t>
            </w:r>
            <w:r>
              <w:rPr>
                <w:b/>
                <w:color w:val="FF0000"/>
              </w:rPr>
              <w:t>3</w:t>
            </w:r>
            <w:r>
              <w:t>%-át a hallgatói önkormányzat működésének támogatására,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b) 53 %-át tanulmán</w:t>
            </w:r>
            <w:r>
              <w:t>yi ösztöndíjra,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 xml:space="preserve">c) </w:t>
            </w:r>
            <w:r>
              <w:rPr>
                <w:strike/>
              </w:rPr>
              <w:t>11</w:t>
            </w:r>
            <w:r>
              <w:t xml:space="preserve"> </w:t>
            </w:r>
            <w:r>
              <w:rPr>
                <w:b/>
                <w:color w:val="FF0000"/>
              </w:rPr>
              <w:t xml:space="preserve">14 </w:t>
            </w:r>
            <w:r>
              <w:t xml:space="preserve">%-át intézményi szakmai tudományos és közéleti ösztöndíjra, </w:t>
            </w:r>
          </w:p>
          <w:p w:rsidR="00723CA0" w:rsidRDefault="00545992">
            <w:pPr>
              <w:widowControl w:val="0"/>
              <w:spacing w:line="240" w:lineRule="auto"/>
            </w:pPr>
            <w:r>
              <w:t>d) 30 %-át szociális alapú ösztöndíjra kell felhasználni.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CA0" w:rsidRDefault="00723CA0">
            <w:pPr>
              <w:widowControl w:val="0"/>
              <w:spacing w:line="240" w:lineRule="auto"/>
            </w:pPr>
          </w:p>
        </w:tc>
      </w:tr>
    </w:tbl>
    <w:p w:rsidR="00723CA0" w:rsidRDefault="00723CA0"/>
    <w:sectPr w:rsidR="00723CA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3CA0"/>
    <w:rsid w:val="00545992"/>
    <w:rsid w:val="007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45992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45992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1330</Words>
  <Characters>9183</Characters>
  <Application>Microsoft Office Word</Application>
  <DocSecurity>0</DocSecurity>
  <Lines>76</Lines>
  <Paragraphs>20</Paragraphs>
  <ScaleCrop>false</ScaleCrop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HKR általános módosító csomag - ösztöndíjak.docx</dc:title>
  <cp:lastModifiedBy>irodavezeto</cp:lastModifiedBy>
  <cp:revision>2</cp:revision>
  <dcterms:created xsi:type="dcterms:W3CDTF">2015-02-03T13:28:00Z</dcterms:created>
  <dcterms:modified xsi:type="dcterms:W3CDTF">2015-02-03T13:38:00Z</dcterms:modified>
</cp:coreProperties>
</file>