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6D4ECA8" w14:textId="77777777" w:rsidR="00235F60" w:rsidRDefault="00235F60">
      <w:pPr>
        <w:pBdr>
          <w:bottom w:val="single" w:sz="4" w:space="1" w:color="000000"/>
        </w:pBdr>
        <w:spacing w:after="120"/>
        <w:jc w:val="right"/>
        <w:rPr>
          <w:b/>
          <w:sz w:val="20"/>
        </w:rPr>
      </w:pPr>
      <w:bookmarkStart w:id="0" w:name="_GoBack"/>
      <w:bookmarkEnd w:id="0"/>
    </w:p>
    <w:p w14:paraId="5187C03F" w14:textId="77777777" w:rsidR="00E248B6" w:rsidRDefault="00E248B6" w:rsidP="00E248B6">
      <w:pPr>
        <w:spacing w:line="360" w:lineRule="auto"/>
        <w:ind w:left="1701" w:right="1699"/>
        <w:jc w:val="center"/>
        <w:rPr>
          <w:rFonts w:ascii="Garamond" w:eastAsia="PMingLiU" w:hAnsi="Garamond" w:cs="Times New Roman"/>
          <w:b/>
          <w:bCs/>
          <w:smallCaps/>
          <w:szCs w:val="24"/>
        </w:rPr>
      </w:pPr>
      <w:r w:rsidRPr="00E248B6">
        <w:rPr>
          <w:rFonts w:ascii="Garamond" w:eastAsia="PMingLiU" w:hAnsi="Garamond" w:cs="Times New Roman"/>
          <w:b/>
          <w:bCs/>
          <w:smallCaps/>
          <w:szCs w:val="24"/>
        </w:rPr>
        <w:t>Észrevételek a HÖOK Közéleti Ösztöndíjakkal kapcsolatos Előterjesztéshez</w:t>
      </w:r>
    </w:p>
    <w:p w14:paraId="5FE71B35" w14:textId="77777777" w:rsidR="00E248B6" w:rsidRDefault="00E248B6" w:rsidP="00E248B6">
      <w:pPr>
        <w:spacing w:line="360" w:lineRule="auto"/>
        <w:jc w:val="center"/>
        <w:rPr>
          <w:rFonts w:ascii="Garamond" w:eastAsia="PMingLiU" w:hAnsi="Garamond" w:cs="Times New Roman"/>
          <w:b/>
          <w:bCs/>
          <w:smallCaps/>
          <w:szCs w:val="24"/>
        </w:rPr>
      </w:pPr>
    </w:p>
    <w:p w14:paraId="400BB6CA" w14:textId="77777777" w:rsidR="00E248B6" w:rsidRDefault="00E248B6" w:rsidP="00E248B6">
      <w:pPr>
        <w:spacing w:line="360" w:lineRule="auto"/>
        <w:jc w:val="both"/>
        <w:rPr>
          <w:rFonts w:ascii="Garamond" w:eastAsia="PMingLiU" w:hAnsi="Garamond" w:cs="Times New Roman"/>
          <w:bCs/>
          <w:sz w:val="22"/>
          <w:szCs w:val="22"/>
        </w:rPr>
      </w:pPr>
      <w:r>
        <w:rPr>
          <w:rFonts w:ascii="Garamond" w:eastAsia="PMingLiU" w:hAnsi="Garamond" w:cs="Times New Roman"/>
          <w:bCs/>
          <w:sz w:val="22"/>
          <w:szCs w:val="22"/>
        </w:rPr>
        <w:t xml:space="preserve">A szóban forgó előterjesztés a TTK HÖK számára </w:t>
      </w:r>
      <w:r w:rsidRPr="002703E1">
        <w:rPr>
          <w:rFonts w:ascii="Garamond" w:eastAsia="PMingLiU" w:hAnsi="Garamond" w:cs="Times New Roman"/>
          <w:b/>
          <w:bCs/>
          <w:sz w:val="22"/>
          <w:szCs w:val="22"/>
        </w:rPr>
        <w:t>nem támogatható</w:t>
      </w:r>
      <w:r>
        <w:rPr>
          <w:rFonts w:ascii="Garamond" w:eastAsia="PMingLiU" w:hAnsi="Garamond" w:cs="Times New Roman"/>
          <w:bCs/>
          <w:sz w:val="22"/>
          <w:szCs w:val="22"/>
        </w:rPr>
        <w:t xml:space="preserve">. </w:t>
      </w:r>
      <w:r w:rsidR="002703E1">
        <w:rPr>
          <w:rFonts w:ascii="Garamond" w:eastAsia="PMingLiU" w:hAnsi="Garamond" w:cs="Times New Roman"/>
          <w:bCs/>
          <w:sz w:val="22"/>
          <w:szCs w:val="22"/>
        </w:rPr>
        <w:t>Ennek alább részletezzük az indoklását.</w:t>
      </w:r>
    </w:p>
    <w:p w14:paraId="1C704ADC" w14:textId="77777777" w:rsidR="00E248B6" w:rsidRDefault="00E248B6" w:rsidP="00E248B6">
      <w:pPr>
        <w:spacing w:line="360" w:lineRule="auto"/>
        <w:jc w:val="both"/>
        <w:rPr>
          <w:rFonts w:ascii="Garamond" w:eastAsia="PMingLiU" w:hAnsi="Garamond" w:cs="Times New Roman"/>
          <w:bCs/>
          <w:sz w:val="22"/>
          <w:szCs w:val="22"/>
        </w:rPr>
      </w:pPr>
    </w:p>
    <w:p w14:paraId="1AF4ADD8" w14:textId="51A8365F" w:rsidR="00E248B6" w:rsidRPr="00FD6FBF" w:rsidRDefault="00E248B6" w:rsidP="00E248B6">
      <w:pPr>
        <w:spacing w:line="360" w:lineRule="auto"/>
        <w:jc w:val="both"/>
        <w:rPr>
          <w:rFonts w:ascii="Garamond" w:eastAsia="PMingLiU" w:hAnsi="Garamond" w:cs="Times New Roman"/>
          <w:b/>
          <w:bCs/>
          <w:sz w:val="22"/>
          <w:szCs w:val="22"/>
        </w:rPr>
      </w:pPr>
      <w:r w:rsidRPr="00FD6FBF">
        <w:rPr>
          <w:rFonts w:ascii="Garamond" w:eastAsia="PMingLiU" w:hAnsi="Garamond" w:cs="Times New Roman"/>
          <w:b/>
          <w:bCs/>
          <w:sz w:val="22"/>
          <w:szCs w:val="22"/>
        </w:rPr>
        <w:t>A 3. § alapján „(…) ösztöndíjban kell r</w:t>
      </w:r>
      <w:r w:rsidR="00A34D6E" w:rsidRPr="00FD6FBF">
        <w:rPr>
          <w:rFonts w:ascii="Garamond" w:eastAsia="PMingLiU" w:hAnsi="Garamond" w:cs="Times New Roman"/>
          <w:b/>
          <w:bCs/>
          <w:sz w:val="22"/>
          <w:szCs w:val="22"/>
        </w:rPr>
        <w:t>észesíteni a hallgatók érdekében elvégzett tevékenységéért a hallgatói önkormányzat hallgatói képviselőjét</w:t>
      </w:r>
      <w:r w:rsidRPr="00FD6FBF">
        <w:rPr>
          <w:rFonts w:ascii="Garamond" w:eastAsia="PMingLiU" w:hAnsi="Garamond" w:cs="Times New Roman"/>
          <w:b/>
          <w:bCs/>
          <w:sz w:val="22"/>
          <w:szCs w:val="22"/>
        </w:rPr>
        <w:t>”</w:t>
      </w:r>
      <w:r w:rsidR="00A34D6E" w:rsidRPr="00FD6FBF">
        <w:rPr>
          <w:rFonts w:ascii="Garamond" w:eastAsia="PMingLiU" w:hAnsi="Garamond" w:cs="Times New Roman"/>
          <w:b/>
          <w:bCs/>
          <w:sz w:val="22"/>
          <w:szCs w:val="22"/>
        </w:rPr>
        <w:t xml:space="preserve">. </w:t>
      </w:r>
    </w:p>
    <w:p w14:paraId="3D3AC715" w14:textId="7BED640C" w:rsidR="00BC76E9" w:rsidRDefault="00BC76E9" w:rsidP="00E248B6">
      <w:pPr>
        <w:spacing w:line="360" w:lineRule="auto"/>
        <w:jc w:val="both"/>
        <w:rPr>
          <w:rFonts w:ascii="Garamond" w:eastAsia="PMingLiU" w:hAnsi="Garamond" w:cs="Times New Roman"/>
          <w:bCs/>
          <w:sz w:val="22"/>
          <w:szCs w:val="22"/>
        </w:rPr>
      </w:pPr>
    </w:p>
    <w:p w14:paraId="5D24146C" w14:textId="050F587B" w:rsidR="00BC76E9" w:rsidRPr="00FD6FBF" w:rsidRDefault="00BC76E9" w:rsidP="00E248B6">
      <w:pPr>
        <w:spacing w:line="360" w:lineRule="auto"/>
        <w:jc w:val="both"/>
        <w:rPr>
          <w:rFonts w:ascii="Garamond" w:eastAsia="PMingLiU" w:hAnsi="Garamond" w:cs="Times New Roman"/>
          <w:b/>
          <w:bCs/>
          <w:sz w:val="22"/>
          <w:szCs w:val="22"/>
        </w:rPr>
      </w:pPr>
      <w:r>
        <w:rPr>
          <w:rFonts w:ascii="Garamond" w:eastAsia="PMingLiU" w:hAnsi="Garamond" w:cs="Times New Roman"/>
          <w:bCs/>
          <w:sz w:val="22"/>
          <w:szCs w:val="22"/>
        </w:rPr>
        <w:t>Nem értünk egyet a „kell</w:t>
      </w:r>
      <w:r w:rsidR="00F12CAD">
        <w:rPr>
          <w:rFonts w:ascii="Garamond" w:eastAsia="PMingLiU" w:hAnsi="Garamond" w:cs="Times New Roman"/>
          <w:bCs/>
          <w:sz w:val="22"/>
          <w:szCs w:val="22"/>
        </w:rPr>
        <w:t xml:space="preserve"> segédige</w:t>
      </w:r>
      <w:r>
        <w:rPr>
          <w:rFonts w:ascii="Garamond" w:eastAsia="PMingLiU" w:hAnsi="Garamond" w:cs="Times New Roman"/>
          <w:bCs/>
          <w:sz w:val="22"/>
          <w:szCs w:val="22"/>
        </w:rPr>
        <w:t xml:space="preserve"> kényszerítő hatást kifejező szerepeltetésével. Nem támogatjuk, hogy az érdekképviseleti választásokon való</w:t>
      </w:r>
      <w:r w:rsidR="00F12CAD">
        <w:rPr>
          <w:rFonts w:ascii="Garamond" w:eastAsia="PMingLiU" w:hAnsi="Garamond" w:cs="Times New Roman"/>
          <w:bCs/>
          <w:sz w:val="22"/>
          <w:szCs w:val="22"/>
        </w:rPr>
        <w:t xml:space="preserve"> eredményes szereplés közéleti ösztöndíj juttatásra</w:t>
      </w:r>
      <w:r>
        <w:rPr>
          <w:rFonts w:ascii="Garamond" w:eastAsia="PMingLiU" w:hAnsi="Garamond" w:cs="Times New Roman"/>
          <w:bCs/>
          <w:sz w:val="22"/>
          <w:szCs w:val="22"/>
        </w:rPr>
        <w:t xml:space="preserve"> predesztináljon. </w:t>
      </w:r>
      <w:r w:rsidR="00F12CAD">
        <w:rPr>
          <w:rFonts w:ascii="Garamond" w:eastAsia="PMingLiU" w:hAnsi="Garamond" w:cs="Times New Roman"/>
          <w:bCs/>
          <w:sz w:val="22"/>
          <w:szCs w:val="22"/>
        </w:rPr>
        <w:t>Fontosnak</w:t>
      </w:r>
      <w:r>
        <w:rPr>
          <w:rFonts w:ascii="Garamond" w:eastAsia="PMingLiU" w:hAnsi="Garamond" w:cs="Times New Roman"/>
          <w:bCs/>
          <w:sz w:val="22"/>
          <w:szCs w:val="22"/>
        </w:rPr>
        <w:t xml:space="preserve"> tartjuk, hogy az ilyesfajta jutalmazás ne merüljön fel motiváló tényezőként a képviselőválasztáson való induláskor, ezzel is biztosítva, hogy azok, akik végül az érdekképviselet iránt elköteleződnek, ezt kizárólag önmagában a közéletben való szerepvállalásért</w:t>
      </w:r>
      <w:r w:rsidR="00F12CAD">
        <w:rPr>
          <w:rFonts w:ascii="Garamond" w:eastAsia="PMingLiU" w:hAnsi="Garamond" w:cs="Times New Roman"/>
          <w:bCs/>
          <w:sz w:val="22"/>
          <w:szCs w:val="22"/>
        </w:rPr>
        <w:t xml:space="preserve"> tegyék</w:t>
      </w:r>
      <w:r>
        <w:rPr>
          <w:rFonts w:ascii="Garamond" w:eastAsia="PMingLiU" w:hAnsi="Garamond" w:cs="Times New Roman"/>
          <w:bCs/>
          <w:sz w:val="22"/>
          <w:szCs w:val="22"/>
        </w:rPr>
        <w:t>. Másfelől, a hallgatói képviselők fela</w:t>
      </w:r>
      <w:r w:rsidR="00F12CAD">
        <w:rPr>
          <w:rFonts w:ascii="Garamond" w:eastAsia="PMingLiU" w:hAnsi="Garamond" w:cs="Times New Roman"/>
          <w:bCs/>
          <w:sz w:val="22"/>
          <w:szCs w:val="22"/>
        </w:rPr>
        <w:t xml:space="preserve">datukból adódó közéleti kötelezettségei álláspontunk szerint nem </w:t>
      </w:r>
      <w:r w:rsidR="00F12CAD" w:rsidRPr="00FD6FBF">
        <w:rPr>
          <w:rFonts w:ascii="Garamond" w:eastAsia="PMingLiU" w:hAnsi="Garamond" w:cs="Times New Roman"/>
          <w:b/>
          <w:bCs/>
          <w:sz w:val="22"/>
          <w:szCs w:val="22"/>
        </w:rPr>
        <w:t>jelentenek akkora mértékű kapacitás- és időigényt, ami feltétlen szükségessé tenné, hogy méltányossági alapon ezért a munkájáért juttatásban részesüljön. Szerencsésebbnek tartanánk, ha a HÖOK ezt az elvi állásfoglalást meghagyná tagönkormányzati hatáskörben.</w:t>
      </w:r>
    </w:p>
    <w:p w14:paraId="41FC0234" w14:textId="77777777" w:rsidR="00BC76E9" w:rsidRPr="00FD6FBF" w:rsidRDefault="00BC76E9" w:rsidP="00E248B6">
      <w:pPr>
        <w:spacing w:line="360" w:lineRule="auto"/>
        <w:jc w:val="both"/>
        <w:rPr>
          <w:rFonts w:ascii="Garamond" w:eastAsia="PMingLiU" w:hAnsi="Garamond" w:cs="Times New Roman"/>
          <w:b/>
          <w:bCs/>
          <w:sz w:val="22"/>
          <w:szCs w:val="22"/>
        </w:rPr>
      </w:pPr>
    </w:p>
    <w:p w14:paraId="37BDFBBB" w14:textId="38C2246D" w:rsidR="00A34D6E" w:rsidRPr="00FD6FBF" w:rsidRDefault="00A34D6E" w:rsidP="00E248B6">
      <w:pPr>
        <w:spacing w:line="360" w:lineRule="auto"/>
        <w:jc w:val="both"/>
        <w:rPr>
          <w:rFonts w:ascii="Garamond" w:eastAsia="PMingLiU" w:hAnsi="Garamond" w:cs="Times New Roman"/>
          <w:b/>
          <w:bCs/>
          <w:sz w:val="22"/>
          <w:szCs w:val="22"/>
        </w:rPr>
      </w:pPr>
      <w:r w:rsidRPr="00FD6FBF">
        <w:rPr>
          <w:rFonts w:ascii="Garamond" w:eastAsia="PMingLiU" w:hAnsi="Garamond" w:cs="Times New Roman"/>
          <w:b/>
          <w:bCs/>
          <w:sz w:val="22"/>
          <w:szCs w:val="22"/>
        </w:rPr>
        <w:t xml:space="preserve">6. § (2) „Egy adott további tisztségviselő, illetve hallgatói képviselő rendszeres ösztöndíjának évi átlagos értéke nem haladhatja meg az elnök részére megállapított ösztöndíj 90%-át.” </w:t>
      </w:r>
    </w:p>
    <w:p w14:paraId="0AFC36DA" w14:textId="08D10717" w:rsidR="00F12CAD" w:rsidRPr="00FD6FBF" w:rsidRDefault="00F12CAD" w:rsidP="00E248B6">
      <w:pPr>
        <w:spacing w:line="360" w:lineRule="auto"/>
        <w:jc w:val="both"/>
        <w:rPr>
          <w:rFonts w:ascii="Garamond" w:eastAsia="PMingLiU" w:hAnsi="Garamond" w:cs="Times New Roman"/>
          <w:b/>
          <w:bCs/>
          <w:sz w:val="22"/>
          <w:szCs w:val="22"/>
        </w:rPr>
      </w:pPr>
    </w:p>
    <w:p w14:paraId="5609B22E" w14:textId="45F9B314" w:rsidR="00F12CAD" w:rsidRDefault="00F12CAD" w:rsidP="00E248B6">
      <w:pPr>
        <w:spacing w:line="360" w:lineRule="auto"/>
        <w:jc w:val="both"/>
        <w:rPr>
          <w:rFonts w:ascii="Garamond" w:eastAsia="PMingLiU" w:hAnsi="Garamond" w:cs="Times New Roman"/>
          <w:bCs/>
          <w:sz w:val="22"/>
          <w:szCs w:val="22"/>
        </w:rPr>
      </w:pPr>
      <w:r w:rsidRPr="00824A87">
        <w:rPr>
          <w:rFonts w:ascii="Garamond" w:eastAsia="PMingLiU" w:hAnsi="Garamond" w:cs="Times New Roman"/>
          <w:bCs/>
          <w:sz w:val="22"/>
          <w:szCs w:val="22"/>
        </w:rPr>
        <w:t xml:space="preserve">Elvi alapon egyet tudunk érteni azzal, hogy a Hallgatói Önkormányzat elnöke legyen a viszonyítás alapja a közéleti ösztöndíjak mértékét illetően, azonban a kodifikációt nehezen tudjuk értelmezni. </w:t>
      </w:r>
      <w:r w:rsidR="007D44A2" w:rsidRPr="00824A87">
        <w:rPr>
          <w:rFonts w:ascii="Garamond" w:eastAsia="PMingLiU" w:hAnsi="Garamond" w:cs="Times New Roman"/>
          <w:bCs/>
          <w:sz w:val="22"/>
          <w:szCs w:val="22"/>
        </w:rPr>
        <w:t xml:space="preserve">Figyelembe véve, hogy egy adott „tisztségviselőről” és/vagy „hallgatói képviselőről” van szó, így értelmezésünk szerint jelen kontextusban konkrét személyről van szó, nem magáról a tisztséghez rendelt ösztöndíjról, így az egy évre vett átlag azt jelentheti (?), hogy 1 év alatt nem kaphat több ösztöndíjat, mint az Önkormányzat elnöke számára megállapított ösztöndíj 90%-a. Ez azért teremthet furcsa szituációt, mert havi átlagban ezek szerint kaphat egy további tisztségviselő magasabb ösztöndíjat, mint az Önkormányzat elnökének megállapított havi ösztöndíj 90%-a. Ha nem ez a szándék, akkor lehetne még egyértelműsíteni.  </w:t>
      </w:r>
    </w:p>
    <w:p w14:paraId="1757EDD2" w14:textId="234B45D1" w:rsidR="00824A87" w:rsidRDefault="00824A87" w:rsidP="00E248B6">
      <w:pPr>
        <w:spacing w:line="360" w:lineRule="auto"/>
        <w:jc w:val="both"/>
        <w:rPr>
          <w:rFonts w:ascii="Garamond" w:eastAsia="PMingLiU" w:hAnsi="Garamond" w:cs="Times New Roman"/>
          <w:bCs/>
          <w:sz w:val="22"/>
          <w:szCs w:val="22"/>
        </w:rPr>
      </w:pPr>
    </w:p>
    <w:p w14:paraId="19C22311" w14:textId="024B6722" w:rsidR="00824A87" w:rsidRPr="00824A87" w:rsidRDefault="00824A87" w:rsidP="00E248B6">
      <w:pPr>
        <w:spacing w:line="360" w:lineRule="auto"/>
        <w:jc w:val="both"/>
        <w:rPr>
          <w:rFonts w:ascii="Garamond" w:eastAsia="PMingLiU" w:hAnsi="Garamond" w:cs="Times New Roman"/>
          <w:bCs/>
          <w:sz w:val="22"/>
          <w:szCs w:val="22"/>
        </w:rPr>
      </w:pPr>
      <w:r>
        <w:rPr>
          <w:rFonts w:ascii="Garamond" w:eastAsia="PMingLiU" w:hAnsi="Garamond" w:cs="Times New Roman"/>
          <w:bCs/>
          <w:sz w:val="22"/>
          <w:szCs w:val="22"/>
        </w:rPr>
        <w:lastRenderedPageBreak/>
        <w:t>Továbbá, talán szerencsés lenne egy abszolút maximális viszonyítási szám rögzítése is, hiszen bizonyos összegek valóban megérdemlik az irreális minősítést.</w:t>
      </w:r>
    </w:p>
    <w:p w14:paraId="63DC1724" w14:textId="77777777" w:rsidR="00F12CAD" w:rsidRPr="00FD6FBF" w:rsidRDefault="00F12CAD" w:rsidP="00E248B6">
      <w:pPr>
        <w:spacing w:line="360" w:lineRule="auto"/>
        <w:jc w:val="both"/>
        <w:rPr>
          <w:rFonts w:ascii="Garamond" w:eastAsia="PMingLiU" w:hAnsi="Garamond" w:cs="Times New Roman"/>
          <w:b/>
          <w:bCs/>
          <w:sz w:val="22"/>
          <w:szCs w:val="22"/>
        </w:rPr>
      </w:pPr>
    </w:p>
    <w:p w14:paraId="0E6EFA9F" w14:textId="73DB3A0E" w:rsidR="00A34D6E" w:rsidRPr="00FD6FBF" w:rsidRDefault="00A34D6E" w:rsidP="00E248B6">
      <w:pPr>
        <w:spacing w:line="360" w:lineRule="auto"/>
        <w:jc w:val="both"/>
        <w:rPr>
          <w:rFonts w:ascii="Garamond" w:eastAsia="PMingLiU" w:hAnsi="Garamond" w:cs="Times New Roman"/>
          <w:b/>
          <w:bCs/>
          <w:sz w:val="22"/>
          <w:szCs w:val="22"/>
        </w:rPr>
      </w:pPr>
      <w:r w:rsidRPr="00FD6FBF">
        <w:rPr>
          <w:rFonts w:ascii="Garamond" w:eastAsia="PMingLiU" w:hAnsi="Garamond" w:cs="Times New Roman"/>
          <w:b/>
          <w:bCs/>
          <w:sz w:val="22"/>
          <w:szCs w:val="22"/>
        </w:rPr>
        <w:t>7. § (2) „(…) Az elnök rendszeres juttatásán felül további juttatást nem kaphat, a további, rendszeres juttatásban részesülő személyek pedig a meghatározott feladataikon túli feladatok ellátása esetén az általános szabályok szerint</w:t>
      </w:r>
      <w:r w:rsidRPr="00FD6FBF" w:rsidDel="000F28CB">
        <w:rPr>
          <w:rFonts w:ascii="Garamond" w:eastAsia="PMingLiU" w:hAnsi="Garamond" w:cs="Times New Roman"/>
          <w:b/>
          <w:bCs/>
          <w:sz w:val="22"/>
          <w:szCs w:val="22"/>
        </w:rPr>
        <w:t xml:space="preserve"> </w:t>
      </w:r>
      <w:r w:rsidRPr="00FD6FBF">
        <w:rPr>
          <w:rFonts w:ascii="Garamond" w:eastAsia="PMingLiU" w:hAnsi="Garamond" w:cs="Times New Roman"/>
          <w:b/>
          <w:bCs/>
          <w:sz w:val="22"/>
          <w:szCs w:val="22"/>
        </w:rPr>
        <w:t>jogosultak pályázni az eseti juttatásra.”</w:t>
      </w:r>
    </w:p>
    <w:p w14:paraId="3C4F24FF" w14:textId="0C271153" w:rsidR="007D44A2" w:rsidRDefault="007D44A2" w:rsidP="00E248B6">
      <w:pPr>
        <w:spacing w:line="360" w:lineRule="auto"/>
        <w:jc w:val="both"/>
        <w:rPr>
          <w:rFonts w:ascii="Garamond" w:eastAsia="PMingLiU" w:hAnsi="Garamond" w:cs="Times New Roman"/>
          <w:bCs/>
          <w:sz w:val="22"/>
          <w:szCs w:val="22"/>
        </w:rPr>
      </w:pPr>
    </w:p>
    <w:p w14:paraId="51D043BD" w14:textId="17CDF2B7" w:rsidR="007D44A2" w:rsidRDefault="007D44A2" w:rsidP="00E248B6">
      <w:pPr>
        <w:spacing w:line="360" w:lineRule="auto"/>
        <w:jc w:val="both"/>
        <w:rPr>
          <w:rFonts w:ascii="Garamond" w:eastAsia="PMingLiU" w:hAnsi="Garamond" w:cs="Times New Roman"/>
          <w:bCs/>
          <w:sz w:val="22"/>
          <w:szCs w:val="22"/>
        </w:rPr>
      </w:pPr>
      <w:r>
        <w:rPr>
          <w:rFonts w:ascii="Garamond" w:eastAsia="PMingLiU" w:hAnsi="Garamond" w:cs="Times New Roman"/>
          <w:bCs/>
          <w:sz w:val="22"/>
          <w:szCs w:val="22"/>
        </w:rPr>
        <w:t>Bár a jogalkotói szándék és a szabályzat további rendelkezései ezt tükrözik, de érdemes lehet konkretizálni, hogy „további közéleti juttatást” nem kaphat. Ez a bekezdés az előző pontban említett klauzulával összevetve teremt furcsa helyzetet, hiszen ezek alapján az elnöki ösztöndíj nem számít a tisztségviselői ösztöndíjak maximumának, mert egy tisztségviselő közéleti tevékenységért kaphat rendszeres és eseti juttatás, ami más meghaladhatja az elnök éves ösztöndíjának 90%-át (mivel az eseti ösztöndíjakra nem vonatkozik a 6. § (2) bekezdése), míg az elnök esetén csak a rendszeres juttatás az opció.</w:t>
      </w:r>
    </w:p>
    <w:p w14:paraId="5CC4FCE7" w14:textId="77777777" w:rsidR="007D44A2" w:rsidRDefault="007D44A2" w:rsidP="00E248B6">
      <w:pPr>
        <w:spacing w:line="360" w:lineRule="auto"/>
        <w:jc w:val="both"/>
        <w:rPr>
          <w:rFonts w:ascii="Garamond" w:eastAsia="PMingLiU" w:hAnsi="Garamond" w:cs="Times New Roman"/>
          <w:bCs/>
          <w:sz w:val="22"/>
          <w:szCs w:val="22"/>
        </w:rPr>
      </w:pPr>
    </w:p>
    <w:p w14:paraId="52915664" w14:textId="1A2826F4" w:rsidR="00A34D6E" w:rsidRPr="00FD6FBF" w:rsidRDefault="00FD6FBF" w:rsidP="00E248B6">
      <w:pPr>
        <w:spacing w:line="360" w:lineRule="auto"/>
        <w:jc w:val="both"/>
        <w:rPr>
          <w:rFonts w:ascii="Garamond" w:eastAsia="PMingLiU" w:hAnsi="Garamond" w:cs="Times New Roman"/>
          <w:b/>
          <w:bCs/>
          <w:sz w:val="22"/>
          <w:szCs w:val="22"/>
        </w:rPr>
      </w:pPr>
      <w:r>
        <w:rPr>
          <w:rFonts w:ascii="Garamond" w:eastAsia="PMingLiU" w:hAnsi="Garamond" w:cs="Times New Roman"/>
          <w:b/>
          <w:bCs/>
          <w:sz w:val="22"/>
          <w:szCs w:val="22"/>
        </w:rPr>
        <w:t>8. § (2)</w:t>
      </w:r>
      <w:r w:rsidR="00A34D6E" w:rsidRPr="00FD6FBF">
        <w:rPr>
          <w:rFonts w:ascii="Garamond" w:eastAsia="PMingLiU" w:hAnsi="Garamond" w:cs="Times New Roman"/>
          <w:b/>
          <w:bCs/>
          <w:sz w:val="22"/>
          <w:szCs w:val="22"/>
        </w:rPr>
        <w:t xml:space="preserve"> </w:t>
      </w:r>
      <w:r w:rsidR="007D44A2" w:rsidRPr="00FD6FBF">
        <w:rPr>
          <w:rFonts w:ascii="Garamond" w:eastAsia="PMingLiU" w:hAnsi="Garamond" w:cs="Times New Roman"/>
          <w:b/>
          <w:bCs/>
          <w:sz w:val="22"/>
          <w:szCs w:val="22"/>
        </w:rPr>
        <w:t>„</w:t>
      </w:r>
      <w:r w:rsidR="00A34D6E" w:rsidRPr="00FD6FBF">
        <w:rPr>
          <w:rFonts w:ascii="Garamond" w:eastAsia="PMingLiU" w:hAnsi="Garamond" w:cs="Times New Roman"/>
          <w:b/>
          <w:bCs/>
          <w:sz w:val="22"/>
          <w:szCs w:val="22"/>
        </w:rPr>
        <w:t>A 4. § szerinti szabályozásban kell meghatározni, hogy a további tisztségviselők és hallgatói képviselők közül az elnökön túl kik jogosultak még feladataik ellátásának idejére rendszeres ösztöndíjra.</w:t>
      </w:r>
      <w:r w:rsidR="007D44A2" w:rsidRPr="00FD6FBF">
        <w:rPr>
          <w:rFonts w:ascii="Garamond" w:eastAsia="PMingLiU" w:hAnsi="Garamond" w:cs="Times New Roman"/>
          <w:b/>
          <w:bCs/>
          <w:sz w:val="22"/>
          <w:szCs w:val="22"/>
        </w:rPr>
        <w:t>”</w:t>
      </w:r>
    </w:p>
    <w:p w14:paraId="382EC881" w14:textId="75CECADC" w:rsidR="007D44A2" w:rsidRDefault="007D44A2" w:rsidP="00E248B6">
      <w:pPr>
        <w:spacing w:line="360" w:lineRule="auto"/>
        <w:jc w:val="both"/>
        <w:rPr>
          <w:rFonts w:ascii="Garamond" w:eastAsia="PMingLiU" w:hAnsi="Garamond" w:cs="Times New Roman"/>
          <w:bCs/>
          <w:sz w:val="22"/>
          <w:szCs w:val="22"/>
        </w:rPr>
      </w:pPr>
    </w:p>
    <w:p w14:paraId="19495D80" w14:textId="385229CE" w:rsidR="007D44A2" w:rsidRDefault="00024B89" w:rsidP="00E248B6">
      <w:pPr>
        <w:spacing w:line="360" w:lineRule="auto"/>
        <w:jc w:val="both"/>
        <w:rPr>
          <w:rFonts w:ascii="Garamond" w:eastAsia="PMingLiU" w:hAnsi="Garamond" w:cs="Times New Roman"/>
          <w:bCs/>
          <w:sz w:val="22"/>
          <w:szCs w:val="22"/>
        </w:rPr>
      </w:pPr>
      <w:r>
        <w:rPr>
          <w:rFonts w:ascii="Garamond" w:eastAsia="PMingLiU" w:hAnsi="Garamond" w:cs="Times New Roman"/>
          <w:bCs/>
          <w:sz w:val="22"/>
          <w:szCs w:val="22"/>
        </w:rPr>
        <w:t>Természetes választásnak tartanánk, ha ez a kérdéskör alapszabályban lenne rendezve, viszont a 4. § szerinti szabályozásra tett kritériumok alapján ennek nem biztos, hogy alapszabályban lenne a helye. Feltétlenül szükséges ezt a kérdéskört is a 4. § szabályzatában rendezni?</w:t>
      </w:r>
    </w:p>
    <w:p w14:paraId="1C5F9A7B" w14:textId="77777777" w:rsidR="00024B89" w:rsidRPr="00E248B6" w:rsidRDefault="00024B89" w:rsidP="00E248B6">
      <w:pPr>
        <w:spacing w:line="360" w:lineRule="auto"/>
        <w:jc w:val="both"/>
        <w:rPr>
          <w:rFonts w:ascii="Garamond" w:eastAsia="PMingLiU" w:hAnsi="Garamond" w:cs="Times New Roman"/>
          <w:bCs/>
          <w:sz w:val="22"/>
          <w:szCs w:val="22"/>
        </w:rPr>
      </w:pPr>
    </w:p>
    <w:p w14:paraId="2CAC0FBF" w14:textId="1A45D939" w:rsidR="00A34D6E" w:rsidRPr="00FD6FBF" w:rsidRDefault="00024B89" w:rsidP="00A34D6E">
      <w:pPr>
        <w:spacing w:line="360" w:lineRule="auto"/>
        <w:jc w:val="both"/>
        <w:rPr>
          <w:rFonts w:ascii="Garamond" w:eastAsia="PMingLiU" w:hAnsi="Garamond" w:cs="Times New Roman"/>
          <w:b/>
          <w:bCs/>
          <w:sz w:val="22"/>
          <w:szCs w:val="22"/>
        </w:rPr>
      </w:pPr>
      <w:r w:rsidRPr="00FD6FBF">
        <w:rPr>
          <w:rFonts w:ascii="Garamond" w:eastAsia="PMingLiU" w:hAnsi="Garamond" w:cs="Times New Roman"/>
          <w:b/>
          <w:bCs/>
          <w:sz w:val="22"/>
          <w:szCs w:val="22"/>
        </w:rPr>
        <w:t>8. § (3) „</w:t>
      </w:r>
      <w:r w:rsidR="00A34D6E" w:rsidRPr="00FD6FBF">
        <w:rPr>
          <w:rFonts w:ascii="Garamond" w:eastAsia="PMingLiU" w:hAnsi="Garamond" w:cs="Times New Roman"/>
          <w:b/>
          <w:bCs/>
          <w:sz w:val="22"/>
          <w:szCs w:val="22"/>
        </w:rPr>
        <w:t>Rendszeres juttatás esetén a pályázat történhet az adott pozíció fennállási idejére kiterjedően egy alkalommal, amennyiben az ösztöndíj odaítéléséről szóló határozat rögzíti a pozíció betöltésének idejére megállapított rendszeres juttatás összegét, folyósítási gyakoriságát, valamint azt, hogy a tisztség megszűnése esetén a rendszeres ösztöndíjra való jogosultság is megszűnik.</w:t>
      </w:r>
      <w:r w:rsidRPr="00FD6FBF">
        <w:rPr>
          <w:rFonts w:ascii="Garamond" w:eastAsia="PMingLiU" w:hAnsi="Garamond" w:cs="Times New Roman"/>
          <w:b/>
          <w:bCs/>
          <w:sz w:val="22"/>
          <w:szCs w:val="22"/>
        </w:rPr>
        <w:t>”</w:t>
      </w:r>
    </w:p>
    <w:p w14:paraId="04AB3162" w14:textId="36922FA1" w:rsidR="00024B89" w:rsidRDefault="00024B89" w:rsidP="00A34D6E">
      <w:pPr>
        <w:spacing w:line="360" w:lineRule="auto"/>
        <w:jc w:val="both"/>
        <w:rPr>
          <w:rFonts w:ascii="Garamond" w:eastAsia="PMingLiU" w:hAnsi="Garamond" w:cs="Times New Roman"/>
          <w:bCs/>
          <w:sz w:val="22"/>
          <w:szCs w:val="22"/>
        </w:rPr>
      </w:pPr>
    </w:p>
    <w:p w14:paraId="213A01B7" w14:textId="4D59B0D1" w:rsidR="00024B89" w:rsidRDefault="00024B89" w:rsidP="00A34D6E">
      <w:pPr>
        <w:spacing w:line="360" w:lineRule="auto"/>
        <w:jc w:val="both"/>
        <w:rPr>
          <w:rFonts w:ascii="Garamond" w:eastAsia="PMingLiU" w:hAnsi="Garamond" w:cs="Times New Roman"/>
          <w:bCs/>
          <w:sz w:val="22"/>
          <w:szCs w:val="22"/>
        </w:rPr>
      </w:pPr>
      <w:r>
        <w:rPr>
          <w:rFonts w:ascii="Garamond" w:eastAsia="PMingLiU" w:hAnsi="Garamond" w:cs="Times New Roman"/>
          <w:bCs/>
          <w:sz w:val="22"/>
          <w:szCs w:val="22"/>
        </w:rPr>
        <w:t>Bár itt csak megengedő jellegű a rendelkezés, azonban a szabályzat rendszeres ösztöndíjakra vonatkozó rendelkezései tekintetében hiányérzet mutatkozik. Fontosnak tartjuk, hogy a tisztségviselők munkájának ellenőrzésére hivatott testületnek módjában álljon a visszahíváson kívül is szankciókat is kilátásba helyezni, hogy az adott időszakban végzett munka jobban korrelálhasson az adott időszakra megítélt ösztöndíjjal.</w:t>
      </w:r>
    </w:p>
    <w:p w14:paraId="6B87F0E7" w14:textId="77777777" w:rsidR="00024B89" w:rsidRPr="00A34D6E" w:rsidRDefault="00024B89" w:rsidP="00A34D6E">
      <w:pPr>
        <w:spacing w:line="360" w:lineRule="auto"/>
        <w:jc w:val="both"/>
        <w:rPr>
          <w:rFonts w:ascii="Garamond" w:eastAsia="PMingLiU" w:hAnsi="Garamond" w:cs="Times New Roman"/>
          <w:bCs/>
          <w:sz w:val="22"/>
          <w:szCs w:val="22"/>
        </w:rPr>
      </w:pPr>
    </w:p>
    <w:p w14:paraId="5FE4EEEC" w14:textId="5537B27F" w:rsidR="00E248B6" w:rsidRPr="00FD6FBF" w:rsidRDefault="00A34D6E">
      <w:pPr>
        <w:spacing w:line="360" w:lineRule="auto"/>
        <w:rPr>
          <w:rFonts w:ascii="Garamond" w:eastAsia="PMingLiU" w:hAnsi="Garamond" w:cs="Times New Roman"/>
          <w:b/>
          <w:bCs/>
          <w:sz w:val="22"/>
          <w:szCs w:val="22"/>
        </w:rPr>
      </w:pPr>
      <w:r w:rsidRPr="00FD6FBF">
        <w:rPr>
          <w:rFonts w:ascii="Garamond" w:eastAsia="PMingLiU" w:hAnsi="Garamond" w:cs="Times New Roman"/>
          <w:b/>
          <w:bCs/>
          <w:sz w:val="22"/>
          <w:szCs w:val="22"/>
        </w:rPr>
        <w:t xml:space="preserve">8. § (4) </w:t>
      </w:r>
      <w:r w:rsidR="00024B89" w:rsidRPr="00FD6FBF">
        <w:rPr>
          <w:rFonts w:ascii="Garamond" w:eastAsia="PMingLiU" w:hAnsi="Garamond" w:cs="Times New Roman"/>
          <w:b/>
          <w:bCs/>
          <w:sz w:val="22"/>
          <w:szCs w:val="22"/>
        </w:rPr>
        <w:t>„</w:t>
      </w:r>
      <w:r w:rsidRPr="00FD6FBF">
        <w:rPr>
          <w:rFonts w:ascii="Garamond" w:eastAsia="PMingLiU" w:hAnsi="Garamond" w:cs="Times New Roman"/>
          <w:b/>
          <w:bCs/>
          <w:sz w:val="22"/>
          <w:szCs w:val="22"/>
        </w:rPr>
        <w:t>A rendszeres ösztöndíjra való jogosultságot az év 12 hónapjára vonatkozóan kell vizsgálni, és jogosultság esetén kifizetni.</w:t>
      </w:r>
      <w:r w:rsidR="00024B89" w:rsidRPr="00FD6FBF">
        <w:rPr>
          <w:rFonts w:ascii="Garamond" w:eastAsia="PMingLiU" w:hAnsi="Garamond" w:cs="Times New Roman"/>
          <w:b/>
          <w:bCs/>
          <w:sz w:val="22"/>
          <w:szCs w:val="22"/>
        </w:rPr>
        <w:t>”</w:t>
      </w:r>
    </w:p>
    <w:p w14:paraId="54C7A35A" w14:textId="09D29F25" w:rsidR="00024B89" w:rsidRDefault="00024B89">
      <w:pPr>
        <w:spacing w:line="360" w:lineRule="auto"/>
        <w:rPr>
          <w:rFonts w:ascii="Garamond" w:eastAsia="PMingLiU" w:hAnsi="Garamond" w:cs="Times New Roman"/>
          <w:bCs/>
          <w:sz w:val="22"/>
          <w:szCs w:val="22"/>
        </w:rPr>
      </w:pPr>
    </w:p>
    <w:p w14:paraId="38ABD4F2" w14:textId="620212E2" w:rsidR="00024B89" w:rsidRDefault="00024B89" w:rsidP="00FD6FBF">
      <w:pPr>
        <w:spacing w:line="360" w:lineRule="auto"/>
        <w:jc w:val="both"/>
        <w:rPr>
          <w:rFonts w:ascii="Garamond" w:eastAsia="PMingLiU" w:hAnsi="Garamond" w:cs="Times New Roman"/>
          <w:bCs/>
          <w:sz w:val="22"/>
          <w:szCs w:val="22"/>
        </w:rPr>
      </w:pPr>
      <w:r>
        <w:rPr>
          <w:rFonts w:ascii="Garamond" w:eastAsia="PMingLiU" w:hAnsi="Garamond" w:cs="Times New Roman"/>
          <w:bCs/>
          <w:sz w:val="22"/>
          <w:szCs w:val="22"/>
        </w:rPr>
        <w:t xml:space="preserve">Szolidaritási és praktikus alapon ezzel a rendelkezéssel nem tudunk egyetérteni. Mikor a legtöbb hallgatói juttatás 10 hónapra szóló (pl. köztársasági ösztöndíj), akkor nem érezzük, hogy szolidáris megoldás lenne </w:t>
      </w:r>
      <w:r w:rsidR="00FD6FBF">
        <w:rPr>
          <w:rFonts w:ascii="Garamond" w:eastAsia="PMingLiU" w:hAnsi="Garamond" w:cs="Times New Roman"/>
          <w:bCs/>
          <w:sz w:val="22"/>
          <w:szCs w:val="22"/>
        </w:rPr>
        <w:t>a Hallgatói Önkormányzat tisztségviselői esetén kivételt képezni. Érvként merülhet fel, hogy a tisztségviselők megbízatása nem korlátozódik a tanulmányi időszak 10 hónapjára, azonban a</w:t>
      </w:r>
      <w:r>
        <w:rPr>
          <w:rFonts w:ascii="Garamond" w:eastAsia="PMingLiU" w:hAnsi="Garamond" w:cs="Times New Roman"/>
          <w:bCs/>
          <w:sz w:val="22"/>
          <w:szCs w:val="22"/>
        </w:rPr>
        <w:t xml:space="preserve"> tisztségviselők nagy részének nincs effektíve kimutatható </w:t>
      </w:r>
      <w:r w:rsidR="00FD6FBF">
        <w:rPr>
          <w:rFonts w:ascii="Garamond" w:eastAsia="PMingLiU" w:hAnsi="Garamond" w:cs="Times New Roman"/>
          <w:bCs/>
          <w:sz w:val="22"/>
          <w:szCs w:val="22"/>
        </w:rPr>
        <w:t>tevékenysége</w:t>
      </w:r>
      <w:r>
        <w:rPr>
          <w:rFonts w:ascii="Garamond" w:eastAsia="PMingLiU" w:hAnsi="Garamond" w:cs="Times New Roman"/>
          <w:bCs/>
          <w:sz w:val="22"/>
          <w:szCs w:val="22"/>
        </w:rPr>
        <w:t xml:space="preserve"> a nyári időszakra, így </w:t>
      </w:r>
      <w:r w:rsidR="00FD6FBF">
        <w:rPr>
          <w:rFonts w:ascii="Garamond" w:eastAsia="PMingLiU" w:hAnsi="Garamond" w:cs="Times New Roman"/>
          <w:bCs/>
          <w:sz w:val="22"/>
          <w:szCs w:val="22"/>
        </w:rPr>
        <w:t>felmerül a kérdés, hogy az ő esetükben miért indokolt kötelezővé tenni a nyári időszakra vonatkozó juttatást is. Miért nem lehet megfelelő megoldás a nyári időszakra vonatkozó egyszeri támogatás, ha már vizsgálni lehet a ténylegesen elvégzett munkát? További praktikus érv a 10 hónap mellett a megnövekedő ösztöndíjterhelés, ami más hallgatói kifizetések rovására történhetne csak.</w:t>
      </w:r>
    </w:p>
    <w:p w14:paraId="0984C068" w14:textId="52243E20" w:rsidR="00024B89" w:rsidRPr="00A34D6E" w:rsidRDefault="00024B89">
      <w:pPr>
        <w:spacing w:line="360" w:lineRule="auto"/>
        <w:rPr>
          <w:rFonts w:ascii="Garamond" w:eastAsia="PMingLiU" w:hAnsi="Garamond" w:cs="Times New Roman"/>
          <w:bCs/>
          <w:sz w:val="22"/>
          <w:szCs w:val="22"/>
        </w:rPr>
      </w:pPr>
    </w:p>
    <w:p w14:paraId="6CAEBA16" w14:textId="049B5A39" w:rsidR="00A34D6E" w:rsidRPr="00FD6FBF" w:rsidRDefault="00C04DD7" w:rsidP="00A34D6E">
      <w:pPr>
        <w:spacing w:line="360" w:lineRule="auto"/>
        <w:jc w:val="both"/>
        <w:rPr>
          <w:rFonts w:ascii="Garamond" w:eastAsia="PMingLiU" w:hAnsi="Garamond" w:cs="Times New Roman"/>
          <w:b/>
          <w:bCs/>
          <w:sz w:val="22"/>
          <w:szCs w:val="22"/>
        </w:rPr>
      </w:pPr>
      <w:r w:rsidRPr="00FD6FBF">
        <w:rPr>
          <w:rFonts w:ascii="Garamond" w:eastAsia="PMingLiU" w:hAnsi="Garamond" w:cs="Times New Roman"/>
          <w:b/>
          <w:bCs/>
          <w:sz w:val="22"/>
          <w:szCs w:val="22"/>
        </w:rPr>
        <w:t>9. § (3)</w:t>
      </w:r>
      <w:r w:rsidR="00A34D6E" w:rsidRPr="00FD6FBF">
        <w:rPr>
          <w:rFonts w:ascii="Garamond" w:eastAsia="PMingLiU" w:hAnsi="Garamond" w:cs="Times New Roman"/>
          <w:b/>
          <w:bCs/>
          <w:sz w:val="22"/>
          <w:szCs w:val="22"/>
        </w:rPr>
        <w:t xml:space="preserve"> </w:t>
      </w:r>
      <w:r w:rsidRPr="00FD6FBF">
        <w:rPr>
          <w:rFonts w:ascii="Garamond" w:eastAsia="PMingLiU" w:hAnsi="Garamond" w:cs="Times New Roman"/>
          <w:b/>
          <w:bCs/>
          <w:sz w:val="22"/>
          <w:szCs w:val="22"/>
        </w:rPr>
        <w:t>„</w:t>
      </w:r>
      <w:r w:rsidR="00A34D6E" w:rsidRPr="00FD6FBF">
        <w:rPr>
          <w:rFonts w:ascii="Garamond" w:eastAsia="PMingLiU" w:hAnsi="Garamond" w:cs="Times New Roman"/>
          <w:b/>
          <w:bCs/>
          <w:sz w:val="22"/>
          <w:szCs w:val="22"/>
        </w:rPr>
        <w:t>A 4. § szerinti szabályozásban meg kell határozni az eseti ösztöndíj esetén figyelembe vehető tevékenységek (mennyiségi, ill. minőségi jellemzőket figyelembe vevő) értékelésének módszertanát, valamint azokat az elveket, amelyek mentén az értékelésen alapulva megállapításra kerül az ösztöndíj összege.</w:t>
      </w:r>
      <w:r w:rsidRPr="00FD6FBF">
        <w:rPr>
          <w:rFonts w:ascii="Garamond" w:eastAsia="PMingLiU" w:hAnsi="Garamond" w:cs="Times New Roman"/>
          <w:b/>
          <w:bCs/>
          <w:sz w:val="22"/>
          <w:szCs w:val="22"/>
        </w:rPr>
        <w:t>”</w:t>
      </w:r>
    </w:p>
    <w:p w14:paraId="56E0E252" w14:textId="0C5744AD" w:rsidR="00FD6FBF" w:rsidRDefault="00FD6FBF" w:rsidP="00A34D6E">
      <w:pPr>
        <w:spacing w:line="360" w:lineRule="auto"/>
        <w:jc w:val="both"/>
        <w:rPr>
          <w:rFonts w:ascii="Garamond" w:eastAsia="PMingLiU" w:hAnsi="Garamond" w:cs="Times New Roman"/>
          <w:bCs/>
          <w:sz w:val="22"/>
          <w:szCs w:val="22"/>
        </w:rPr>
      </w:pPr>
    </w:p>
    <w:p w14:paraId="0AF24F02" w14:textId="28493B2F" w:rsidR="00FD6FBF" w:rsidRDefault="00FD6FBF" w:rsidP="00A34D6E">
      <w:pPr>
        <w:spacing w:line="360" w:lineRule="auto"/>
        <w:jc w:val="both"/>
        <w:rPr>
          <w:rFonts w:ascii="Garamond" w:eastAsia="PMingLiU" w:hAnsi="Garamond" w:cs="Times New Roman"/>
          <w:bCs/>
          <w:sz w:val="22"/>
          <w:szCs w:val="22"/>
        </w:rPr>
      </w:pPr>
      <w:r>
        <w:rPr>
          <w:rFonts w:ascii="Garamond" w:eastAsia="PMingLiU" w:hAnsi="Garamond" w:cs="Times New Roman"/>
          <w:bCs/>
          <w:sz w:val="22"/>
          <w:szCs w:val="22"/>
        </w:rPr>
        <w:t xml:space="preserve">Az ELTE esetén probléma lehet, hogy az egyszeri közéleti ösztöndíjak elbírálása és mértékének megítélése nem a Hallgatói Önkormányzat hatásköre, hanem egy független kari testületé. </w:t>
      </w:r>
    </w:p>
    <w:p w14:paraId="49BFAACE" w14:textId="77777777" w:rsidR="00FD6FBF" w:rsidRDefault="00FD6FBF" w:rsidP="00A34D6E">
      <w:pPr>
        <w:spacing w:line="360" w:lineRule="auto"/>
        <w:jc w:val="both"/>
        <w:rPr>
          <w:rFonts w:ascii="Garamond" w:eastAsia="PMingLiU" w:hAnsi="Garamond" w:cs="Times New Roman"/>
          <w:bCs/>
          <w:sz w:val="22"/>
          <w:szCs w:val="22"/>
        </w:rPr>
      </w:pPr>
    </w:p>
    <w:p w14:paraId="0625BC7B" w14:textId="05655FFD" w:rsidR="00C04DD7" w:rsidRPr="00FD6FBF" w:rsidRDefault="00C04DD7" w:rsidP="00C04DD7">
      <w:pPr>
        <w:spacing w:line="360" w:lineRule="auto"/>
        <w:jc w:val="both"/>
        <w:rPr>
          <w:rFonts w:ascii="Garamond" w:eastAsia="PMingLiU" w:hAnsi="Garamond" w:cs="Times New Roman"/>
          <w:b/>
          <w:bCs/>
          <w:sz w:val="22"/>
          <w:szCs w:val="22"/>
        </w:rPr>
      </w:pPr>
      <w:r w:rsidRPr="00FD6FBF">
        <w:rPr>
          <w:rFonts w:ascii="Garamond" w:eastAsia="PMingLiU" w:hAnsi="Garamond" w:cs="Times New Roman"/>
          <w:b/>
          <w:bCs/>
          <w:sz w:val="22"/>
          <w:szCs w:val="22"/>
        </w:rPr>
        <w:t xml:space="preserve">10. § (1) </w:t>
      </w:r>
      <w:r w:rsidR="00FD6FBF" w:rsidRPr="00FD6FBF">
        <w:rPr>
          <w:rFonts w:ascii="Garamond" w:eastAsia="PMingLiU" w:hAnsi="Garamond" w:cs="Times New Roman"/>
          <w:b/>
          <w:bCs/>
          <w:sz w:val="22"/>
          <w:szCs w:val="22"/>
        </w:rPr>
        <w:t>„</w:t>
      </w:r>
      <w:r w:rsidRPr="00FD6FBF">
        <w:rPr>
          <w:rFonts w:ascii="Garamond" w:eastAsia="PMingLiU" w:hAnsi="Garamond" w:cs="Times New Roman"/>
          <w:b/>
          <w:bCs/>
          <w:sz w:val="22"/>
          <w:szCs w:val="22"/>
        </w:rPr>
        <w:t>Az elnök, a további tisztségviselők és a hallgatói képviselők ösztöndíjának összegét a hallgatói önkormányzat központi honlapján nyilvánosságra kell hozni, és legalább 3 évig biz</w:t>
      </w:r>
      <w:r w:rsidR="00FD6FBF" w:rsidRPr="00FD6FBF">
        <w:rPr>
          <w:rFonts w:ascii="Garamond" w:eastAsia="PMingLiU" w:hAnsi="Garamond" w:cs="Times New Roman"/>
          <w:b/>
          <w:bCs/>
          <w:sz w:val="22"/>
          <w:szCs w:val="22"/>
        </w:rPr>
        <w:t>tosítani kell az elérhetőséget.”</w:t>
      </w:r>
    </w:p>
    <w:p w14:paraId="1D200E2E" w14:textId="35A7F62D" w:rsidR="00FD6FBF" w:rsidRDefault="00FD6FBF" w:rsidP="00C04DD7">
      <w:pPr>
        <w:spacing w:line="360" w:lineRule="auto"/>
        <w:jc w:val="both"/>
        <w:rPr>
          <w:rFonts w:ascii="Garamond" w:eastAsia="PMingLiU" w:hAnsi="Garamond" w:cs="Times New Roman"/>
          <w:bCs/>
          <w:sz w:val="22"/>
          <w:szCs w:val="22"/>
        </w:rPr>
      </w:pPr>
    </w:p>
    <w:p w14:paraId="079BDCCA" w14:textId="6BE5B2C4" w:rsidR="00FD6FBF" w:rsidRDefault="00FD6FBF" w:rsidP="00C04DD7">
      <w:pPr>
        <w:spacing w:line="360" w:lineRule="auto"/>
        <w:jc w:val="both"/>
        <w:rPr>
          <w:rFonts w:ascii="Garamond" w:eastAsia="PMingLiU" w:hAnsi="Garamond" w:cs="Times New Roman"/>
          <w:bCs/>
          <w:sz w:val="22"/>
          <w:szCs w:val="22"/>
        </w:rPr>
      </w:pPr>
      <w:r>
        <w:rPr>
          <w:rFonts w:ascii="Garamond" w:eastAsia="PMingLiU" w:hAnsi="Garamond" w:cs="Times New Roman"/>
          <w:bCs/>
          <w:sz w:val="22"/>
          <w:szCs w:val="22"/>
        </w:rPr>
        <w:t>Feltétlenül szükséges a „központi” honlapon nyilvánosságra hozni? A részönkormányzati honlapok valószínűleg hatékonyabb kommunikációs csatornák lennének erre a célra.</w:t>
      </w:r>
    </w:p>
    <w:p w14:paraId="66080608" w14:textId="5CDC526C" w:rsidR="00824A87" w:rsidRDefault="00824A87" w:rsidP="00C04DD7">
      <w:pPr>
        <w:spacing w:line="360" w:lineRule="auto"/>
        <w:jc w:val="both"/>
        <w:rPr>
          <w:rFonts w:ascii="Garamond" w:eastAsia="PMingLiU" w:hAnsi="Garamond" w:cs="Times New Roman"/>
          <w:bCs/>
          <w:sz w:val="22"/>
          <w:szCs w:val="22"/>
        </w:rPr>
      </w:pPr>
    </w:p>
    <w:p w14:paraId="0489654B" w14:textId="5E93A308" w:rsidR="00824A87" w:rsidRPr="00824A87" w:rsidRDefault="00824A87" w:rsidP="00824A87">
      <w:pPr>
        <w:spacing w:line="360" w:lineRule="auto"/>
        <w:jc w:val="both"/>
        <w:rPr>
          <w:rFonts w:ascii="Garamond" w:eastAsia="PMingLiU" w:hAnsi="Garamond" w:cs="Times New Roman"/>
          <w:b/>
          <w:bCs/>
          <w:sz w:val="22"/>
          <w:szCs w:val="22"/>
        </w:rPr>
      </w:pPr>
      <w:r w:rsidRPr="00824A87">
        <w:rPr>
          <w:rFonts w:ascii="Garamond" w:eastAsia="PMingLiU" w:hAnsi="Garamond" w:cs="Times New Roman"/>
          <w:b/>
          <w:bCs/>
          <w:sz w:val="22"/>
          <w:szCs w:val="22"/>
        </w:rPr>
        <w:t xml:space="preserve">11. § </w:t>
      </w:r>
      <w:r w:rsidRPr="00824A87">
        <w:rPr>
          <w:rFonts w:ascii="Garamond" w:eastAsia="PMingLiU" w:hAnsi="Garamond" w:cs="Times New Roman"/>
          <w:b/>
          <w:bCs/>
          <w:sz w:val="22"/>
          <w:szCs w:val="22"/>
        </w:rPr>
        <w:t>Azon tisztségviselő vagy képviselő, amennyiben az ösztöndíja meghaladja egy naptári átlagában a havi 100 000 Ft-ot, ne pályázzon rendszeres, rászorultsági alapú juttatásra.</w:t>
      </w:r>
    </w:p>
    <w:p w14:paraId="0B52DA32" w14:textId="25FF9968" w:rsidR="00824A87" w:rsidRDefault="00824A87" w:rsidP="00C04DD7">
      <w:pPr>
        <w:spacing w:line="360" w:lineRule="auto"/>
        <w:jc w:val="both"/>
        <w:rPr>
          <w:rFonts w:ascii="Garamond" w:eastAsia="PMingLiU" w:hAnsi="Garamond" w:cs="Times New Roman"/>
          <w:bCs/>
          <w:sz w:val="22"/>
          <w:szCs w:val="22"/>
        </w:rPr>
      </w:pPr>
    </w:p>
    <w:p w14:paraId="59ACF63C" w14:textId="5DA960F6" w:rsidR="00824A87" w:rsidRDefault="00824A87" w:rsidP="00C04DD7">
      <w:pPr>
        <w:spacing w:line="360" w:lineRule="auto"/>
        <w:jc w:val="both"/>
        <w:rPr>
          <w:rFonts w:ascii="Garamond" w:eastAsia="PMingLiU" w:hAnsi="Garamond" w:cs="Times New Roman"/>
          <w:bCs/>
          <w:sz w:val="22"/>
          <w:szCs w:val="22"/>
        </w:rPr>
      </w:pPr>
      <w:r>
        <w:rPr>
          <w:rFonts w:ascii="Garamond" w:eastAsia="PMingLiU" w:hAnsi="Garamond" w:cs="Times New Roman"/>
          <w:bCs/>
          <w:sz w:val="22"/>
          <w:szCs w:val="22"/>
        </w:rPr>
        <w:lastRenderedPageBreak/>
        <w:t>Az „azon” és az „amennyiben” szavak párosítása nem megfelelő.</w:t>
      </w:r>
    </w:p>
    <w:p w14:paraId="0FCFE59A" w14:textId="0279895D" w:rsidR="00FD6FBF" w:rsidRPr="00C04DD7" w:rsidRDefault="00FD6FBF" w:rsidP="00C04DD7">
      <w:pPr>
        <w:spacing w:line="360" w:lineRule="auto"/>
        <w:jc w:val="both"/>
        <w:rPr>
          <w:rFonts w:ascii="Garamond" w:eastAsia="PMingLiU" w:hAnsi="Garamond" w:cs="Times New Roman"/>
          <w:bCs/>
          <w:sz w:val="22"/>
          <w:szCs w:val="22"/>
        </w:rPr>
      </w:pPr>
    </w:p>
    <w:p w14:paraId="70BC701B" w14:textId="116B265A" w:rsidR="002703E1" w:rsidRDefault="002703E1" w:rsidP="002703E1">
      <w:pPr>
        <w:spacing w:line="360" w:lineRule="auto"/>
        <w:jc w:val="both"/>
        <w:rPr>
          <w:rFonts w:ascii="Garamond" w:eastAsia="PMingLiU" w:hAnsi="Garamond" w:cs="Times New Roman"/>
          <w:b/>
          <w:bCs/>
          <w:sz w:val="22"/>
          <w:szCs w:val="22"/>
        </w:rPr>
      </w:pPr>
      <w:r w:rsidRPr="00FD6FBF">
        <w:rPr>
          <w:rFonts w:ascii="Garamond" w:eastAsia="PMingLiU" w:hAnsi="Garamond" w:cs="Times New Roman"/>
          <w:b/>
          <w:bCs/>
          <w:sz w:val="22"/>
          <w:szCs w:val="22"/>
        </w:rPr>
        <w:t xml:space="preserve">12. § (1) Az elnök érdekképviseleti tevékenységén túl az intézménnyel nem állhat munkavégzésre irányuló jogviszonyban, ill. ilyenért nem kaphat díjazást. </w:t>
      </w:r>
    </w:p>
    <w:p w14:paraId="56AAF7A7" w14:textId="77EB9AE8" w:rsidR="00FD6FBF" w:rsidRDefault="00FD6FBF" w:rsidP="002703E1">
      <w:pPr>
        <w:spacing w:line="360" w:lineRule="auto"/>
        <w:jc w:val="both"/>
        <w:rPr>
          <w:rFonts w:ascii="Garamond" w:eastAsia="PMingLiU" w:hAnsi="Garamond" w:cs="Times New Roman"/>
          <w:b/>
          <w:bCs/>
          <w:sz w:val="22"/>
          <w:szCs w:val="22"/>
        </w:rPr>
      </w:pPr>
    </w:p>
    <w:p w14:paraId="24A29CEF" w14:textId="15802A71" w:rsidR="00FD6FBF" w:rsidRPr="00FD6FBF" w:rsidRDefault="00FD6FBF" w:rsidP="002703E1">
      <w:pPr>
        <w:spacing w:line="360" w:lineRule="auto"/>
        <w:jc w:val="both"/>
        <w:rPr>
          <w:rFonts w:ascii="Garamond" w:eastAsia="PMingLiU" w:hAnsi="Garamond" w:cs="Times New Roman"/>
          <w:bCs/>
          <w:sz w:val="22"/>
          <w:szCs w:val="22"/>
        </w:rPr>
      </w:pPr>
      <w:r>
        <w:rPr>
          <w:rFonts w:ascii="Garamond" w:eastAsia="PMingLiU" w:hAnsi="Garamond" w:cs="Times New Roman"/>
          <w:bCs/>
          <w:sz w:val="22"/>
          <w:szCs w:val="22"/>
        </w:rPr>
        <w:t>A 61/2009 (XII. 14.) jogszabályszerkesztésről szóló IRM rendelet úgy fogalmaz: „</w:t>
      </w:r>
      <w:r w:rsidRPr="00FD6FBF">
        <w:rPr>
          <w:rFonts w:ascii="Garamond" w:eastAsia="PMingLiU" w:hAnsi="Garamond" w:cs="Times New Roman"/>
          <w:bCs/>
          <w:sz w:val="22"/>
          <w:szCs w:val="22"/>
        </w:rPr>
        <w:t>Az „illetve” kötőszó jogszabály tervezetében csak más egyértelmű nyelvi megfogalmazás alkalmazhatatlansága esetén alkalmazható.</w:t>
      </w:r>
      <w:r>
        <w:rPr>
          <w:rFonts w:ascii="Garamond" w:eastAsia="PMingLiU" w:hAnsi="Garamond" w:cs="Times New Roman"/>
          <w:bCs/>
          <w:sz w:val="22"/>
          <w:szCs w:val="22"/>
        </w:rPr>
        <w:t>”</w:t>
      </w:r>
      <w:r w:rsidR="00824A87">
        <w:rPr>
          <w:rFonts w:ascii="Garamond" w:eastAsia="PMingLiU" w:hAnsi="Garamond" w:cs="Times New Roman"/>
          <w:bCs/>
          <w:sz w:val="22"/>
          <w:szCs w:val="22"/>
        </w:rPr>
        <w:t xml:space="preserve"> Bár jelen előterjesztés nem jogszabály tervezete, de talán szerencsésebb a jogi normák betartására figyelni. Jelen helyzetben az „illetve” kötőszó alkalmazása kétértelműséget tesz lehetővé. Az egyik értelmezés szerint az elnök érdekképviseleti tevékenységén túl állhat munkavégzésre irányuló jogviszonyban az intézménnyel, csak ezért díjazásban nem részesülhet. Ez felveti a kérdést, hogy az összeférhetetlenség tényállása miért a juttatásból és miért nem a jogviszonyból fakad. A másik értelmezés szerint nem állhat ilyen jogviszonyban és nem is kaphat pénzt „ilyenért”, bár az „ilyenért” nem teljesen egyértelmű, hogy mire referál. Szerencsésebb lenne ezt a bekezdést egyértelműsíteni.</w:t>
      </w:r>
    </w:p>
    <w:p w14:paraId="047B6DC6" w14:textId="21C02286" w:rsidR="00235F60" w:rsidRDefault="00235F60">
      <w:pPr>
        <w:ind w:left="3539" w:firstLine="708"/>
        <w:jc w:val="both"/>
      </w:pPr>
    </w:p>
    <w:sectPr w:rsidR="00235F60" w:rsidSect="007D122F">
      <w:headerReference w:type="default" r:id="rId8"/>
      <w:footerReference w:type="default" r:id="rId9"/>
      <w:pgSz w:w="11906" w:h="16838"/>
      <w:pgMar w:top="1418" w:right="1418" w:bottom="952"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B82D4" w14:textId="77777777" w:rsidR="00FD5C0C" w:rsidRDefault="00FD5C0C">
      <w:r>
        <w:separator/>
      </w:r>
    </w:p>
  </w:endnote>
  <w:endnote w:type="continuationSeparator" w:id="0">
    <w:p w14:paraId="38EB7129" w14:textId="77777777" w:rsidR="00FD5C0C" w:rsidRDefault="00FD5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H-Times New Roman">
    <w:altName w:val="Times New Roman"/>
    <w:charset w:val="00"/>
    <w:family w:val="roman"/>
    <w:pitch w:val="variable"/>
  </w:font>
  <w:font w:name="Arial">
    <w:panose1 w:val="020B0604020202020204"/>
    <w:charset w:val="EE"/>
    <w:family w:val="swiss"/>
    <w:pitch w:val="variable"/>
    <w:sig w:usb0="E0002EFF" w:usb1="C0007843" w:usb2="00000009" w:usb3="00000000" w:csb0="000001FF" w:csb1="00000000"/>
  </w:font>
  <w:font w:name="DejaVu Sans">
    <w:charset w:val="EE"/>
    <w:family w:val="swiss"/>
    <w:pitch w:val="variable"/>
    <w:sig w:usb0="E7002EFF" w:usb1="D200FDFF" w:usb2="0A24602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437726"/>
      <w:docPartObj>
        <w:docPartGallery w:val="Page Numbers (Bottom of Page)"/>
        <w:docPartUnique/>
      </w:docPartObj>
    </w:sdtPr>
    <w:sdtContent>
      <w:p w14:paraId="28F081C1" w14:textId="43F78ECF" w:rsidR="00824A87" w:rsidRDefault="00824A87">
        <w:pPr>
          <w:pStyle w:val="llb"/>
          <w:jc w:val="center"/>
        </w:pPr>
        <w:r>
          <w:fldChar w:fldCharType="begin"/>
        </w:r>
        <w:r>
          <w:instrText>PAGE   \* MERGEFORMAT</w:instrText>
        </w:r>
        <w:r>
          <w:fldChar w:fldCharType="separate"/>
        </w:r>
        <w:r>
          <w:rPr>
            <w:noProof/>
          </w:rPr>
          <w:t>4</w:t>
        </w:r>
        <w:r>
          <w:fldChar w:fldCharType="end"/>
        </w:r>
      </w:p>
    </w:sdtContent>
  </w:sdt>
  <w:p w14:paraId="16963599" w14:textId="77777777" w:rsidR="00824A87" w:rsidRDefault="00824A87">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0A8C1" w14:textId="77777777" w:rsidR="00FD5C0C" w:rsidRDefault="00FD5C0C">
      <w:r>
        <w:separator/>
      </w:r>
    </w:p>
  </w:footnote>
  <w:footnote w:type="continuationSeparator" w:id="0">
    <w:p w14:paraId="7B088773" w14:textId="77777777" w:rsidR="00FD5C0C" w:rsidRDefault="00FD5C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E8282" w14:textId="77777777" w:rsidR="00235F60" w:rsidRDefault="00235F60" w:rsidP="00E46AB1">
    <w:pPr>
      <w:tabs>
        <w:tab w:val="center" w:pos="3403"/>
      </w:tabs>
      <w:spacing w:after="120"/>
      <w:ind w:left="-1418" w:right="-1418"/>
      <w:jc w:val="center"/>
      <w:rPr>
        <w:rFonts w:ascii="Times New Roman" w:hAnsi="Times New Roman" w:cs="Times New Roman"/>
        <w:b/>
        <w:sz w:val="40"/>
      </w:rPr>
    </w:pPr>
    <w:r>
      <w:rPr>
        <w:rFonts w:ascii="Times New Roman" w:hAnsi="Times New Roman" w:cs="Times New Roman"/>
        <w:b/>
        <w:sz w:val="40"/>
      </w:rPr>
      <w:t>E</w:t>
    </w:r>
    <w:r>
      <w:rPr>
        <w:rFonts w:ascii="Times New Roman" w:hAnsi="Times New Roman" w:cs="Times New Roman"/>
        <w:b/>
        <w:sz w:val="36"/>
      </w:rPr>
      <w:t xml:space="preserve">ÖTVÖS </w:t>
    </w:r>
    <w:r>
      <w:rPr>
        <w:rFonts w:ascii="Times New Roman" w:hAnsi="Times New Roman" w:cs="Times New Roman"/>
        <w:b/>
        <w:sz w:val="40"/>
      </w:rPr>
      <w:t>L</w:t>
    </w:r>
    <w:r>
      <w:rPr>
        <w:rFonts w:ascii="Times New Roman" w:hAnsi="Times New Roman" w:cs="Times New Roman"/>
        <w:b/>
        <w:sz w:val="36"/>
      </w:rPr>
      <w:t xml:space="preserve">ORÁND </w:t>
    </w:r>
    <w:r>
      <w:rPr>
        <w:rFonts w:ascii="Times New Roman" w:hAnsi="Times New Roman" w:cs="Times New Roman"/>
        <w:b/>
        <w:sz w:val="40"/>
      </w:rPr>
      <w:t>T</w:t>
    </w:r>
    <w:r>
      <w:rPr>
        <w:rFonts w:ascii="Times New Roman" w:hAnsi="Times New Roman" w:cs="Times New Roman"/>
        <w:b/>
        <w:sz w:val="36"/>
      </w:rPr>
      <w:t>UDOMÁNYEGYETEM</w:t>
    </w:r>
  </w:p>
  <w:p w14:paraId="3F917298" w14:textId="77777777" w:rsidR="00235F60" w:rsidRDefault="00235F60" w:rsidP="00E46AB1">
    <w:pPr>
      <w:tabs>
        <w:tab w:val="center" w:pos="3403"/>
      </w:tabs>
      <w:spacing w:after="120"/>
      <w:ind w:left="-1418" w:right="-1418"/>
      <w:jc w:val="center"/>
      <w:rPr>
        <w:rFonts w:ascii="Times New Roman" w:hAnsi="Times New Roman" w:cs="Times New Roman"/>
        <w:sz w:val="32"/>
      </w:rPr>
    </w:pPr>
    <w:r>
      <w:rPr>
        <w:rFonts w:ascii="Times New Roman" w:hAnsi="Times New Roman" w:cs="Times New Roman"/>
        <w:b/>
        <w:sz w:val="40"/>
      </w:rPr>
      <w:t>T</w:t>
    </w:r>
    <w:r>
      <w:rPr>
        <w:rFonts w:ascii="Times New Roman" w:hAnsi="Times New Roman" w:cs="Times New Roman"/>
        <w:b/>
        <w:sz w:val="36"/>
      </w:rPr>
      <w:t xml:space="preserve">ERMÉSZETTUDOMÁNYI </w:t>
    </w:r>
    <w:r>
      <w:rPr>
        <w:rFonts w:ascii="Times New Roman" w:hAnsi="Times New Roman" w:cs="Times New Roman"/>
        <w:b/>
        <w:sz w:val="40"/>
      </w:rPr>
      <w:t>K</w:t>
    </w:r>
    <w:r>
      <w:rPr>
        <w:rFonts w:ascii="Times New Roman" w:hAnsi="Times New Roman" w:cs="Times New Roman"/>
        <w:b/>
        <w:sz w:val="36"/>
      </w:rPr>
      <w:t>AR</w:t>
    </w:r>
  </w:p>
  <w:p w14:paraId="49E601FE" w14:textId="77777777" w:rsidR="00235F60" w:rsidRDefault="00235F60" w:rsidP="00E46AB1">
    <w:pPr>
      <w:tabs>
        <w:tab w:val="center" w:pos="3403"/>
      </w:tabs>
      <w:spacing w:after="120"/>
      <w:ind w:left="-1418" w:right="-1418"/>
      <w:jc w:val="center"/>
      <w:rPr>
        <w:rFonts w:ascii="Times New Roman" w:hAnsi="Times New Roman" w:cs="Times New Roman"/>
      </w:rPr>
    </w:pPr>
    <w:r>
      <w:rPr>
        <w:rFonts w:ascii="Times New Roman" w:hAnsi="Times New Roman" w:cs="Times New Roman"/>
        <w:sz w:val="32"/>
      </w:rPr>
      <w:t>H</w:t>
    </w:r>
    <w:r>
      <w:rPr>
        <w:rFonts w:ascii="Times New Roman" w:hAnsi="Times New Roman" w:cs="Times New Roman"/>
      </w:rPr>
      <w:t xml:space="preserve">ALLGATÓI </w:t>
    </w:r>
    <w:r>
      <w:rPr>
        <w:rFonts w:ascii="Times New Roman" w:hAnsi="Times New Roman" w:cs="Times New Roman"/>
        <w:sz w:val="32"/>
      </w:rPr>
      <w:t>Ö</w:t>
    </w:r>
    <w:r>
      <w:rPr>
        <w:rFonts w:ascii="Times New Roman" w:hAnsi="Times New Roman" w:cs="Times New Roman"/>
      </w:rPr>
      <w:t xml:space="preserve">NKORMÁNYZAT </w:t>
    </w:r>
  </w:p>
  <w:p w14:paraId="17E73FC6" w14:textId="77777777" w:rsidR="00235F60" w:rsidRDefault="00235F60" w:rsidP="00E46AB1">
    <w:pPr>
      <w:tabs>
        <w:tab w:val="center" w:pos="3403"/>
      </w:tabs>
      <w:spacing w:after="120"/>
      <w:ind w:left="-1418" w:right="-1418"/>
      <w:jc w:val="center"/>
      <w:rPr>
        <w:rFonts w:ascii="Times New Roman" w:hAnsi="Times New Roman" w:cs="Times New Roman"/>
      </w:rPr>
    </w:pPr>
    <w:r>
      <w:rPr>
        <w:rFonts w:ascii="Times New Roman" w:hAnsi="Times New Roman" w:cs="Times New Roman"/>
      </w:rPr>
      <w:t>1117 Budapest, Pázmány Péter sétány 1/A.</w:t>
    </w:r>
  </w:p>
  <w:p w14:paraId="1D8641E2" w14:textId="6A589CF6" w:rsidR="00235F60" w:rsidRDefault="00235F60" w:rsidP="00E46AB1">
    <w:pPr>
      <w:tabs>
        <w:tab w:val="center" w:pos="3403"/>
      </w:tabs>
      <w:spacing w:after="120"/>
      <w:ind w:left="-1418" w:right="-1418"/>
      <w:jc w:val="center"/>
      <w:rPr>
        <w:rFonts w:ascii="Times New Roman" w:hAnsi="Times New Roman" w:cs="Times New Roman"/>
      </w:rPr>
    </w:pPr>
    <w:r>
      <w:rPr>
        <w:rFonts w:ascii="Times New Roman" w:hAnsi="Times New Roman" w:cs="Times New Roman"/>
      </w:rPr>
      <w:t>Telefon/fax: 372-2654</w:t>
    </w:r>
  </w:p>
  <w:p w14:paraId="648A7364" w14:textId="77777777" w:rsidR="00824A87" w:rsidRDefault="00824A87" w:rsidP="00E46AB1">
    <w:pPr>
      <w:tabs>
        <w:tab w:val="center" w:pos="3403"/>
      </w:tabs>
      <w:spacing w:after="120"/>
      <w:ind w:left="-1418" w:right="-1418"/>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62EED7E"/>
    <w:name w:val="WW8Num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05D"/>
    <w:rsid w:val="00000F72"/>
    <w:rsid w:val="00002BDE"/>
    <w:rsid w:val="00021B1D"/>
    <w:rsid w:val="00024B89"/>
    <w:rsid w:val="00073FF9"/>
    <w:rsid w:val="0008354A"/>
    <w:rsid w:val="00085BA2"/>
    <w:rsid w:val="00086231"/>
    <w:rsid w:val="000A0E6E"/>
    <w:rsid w:val="000A3B7A"/>
    <w:rsid w:val="000A72A4"/>
    <w:rsid w:val="000C15BD"/>
    <w:rsid w:val="000D183A"/>
    <w:rsid w:val="001432C2"/>
    <w:rsid w:val="00173D01"/>
    <w:rsid w:val="001959BF"/>
    <w:rsid w:val="001A6423"/>
    <w:rsid w:val="002065B9"/>
    <w:rsid w:val="00235F60"/>
    <w:rsid w:val="00263B6B"/>
    <w:rsid w:val="002703E1"/>
    <w:rsid w:val="00280417"/>
    <w:rsid w:val="002D3923"/>
    <w:rsid w:val="002E0423"/>
    <w:rsid w:val="003015F2"/>
    <w:rsid w:val="00313885"/>
    <w:rsid w:val="00325D07"/>
    <w:rsid w:val="00347695"/>
    <w:rsid w:val="0037705D"/>
    <w:rsid w:val="003D7B59"/>
    <w:rsid w:val="004121BC"/>
    <w:rsid w:val="00456522"/>
    <w:rsid w:val="004565BA"/>
    <w:rsid w:val="0048382A"/>
    <w:rsid w:val="004B4C15"/>
    <w:rsid w:val="004C04FE"/>
    <w:rsid w:val="004E27A7"/>
    <w:rsid w:val="0051545E"/>
    <w:rsid w:val="00523174"/>
    <w:rsid w:val="005D4C66"/>
    <w:rsid w:val="005D57D4"/>
    <w:rsid w:val="005E0311"/>
    <w:rsid w:val="005F2AFA"/>
    <w:rsid w:val="00606FD0"/>
    <w:rsid w:val="00612E29"/>
    <w:rsid w:val="00616BEA"/>
    <w:rsid w:val="0062129E"/>
    <w:rsid w:val="00630D1E"/>
    <w:rsid w:val="00660A1A"/>
    <w:rsid w:val="006648DA"/>
    <w:rsid w:val="006A5E51"/>
    <w:rsid w:val="006B15EA"/>
    <w:rsid w:val="0075170D"/>
    <w:rsid w:val="00752C35"/>
    <w:rsid w:val="007611F4"/>
    <w:rsid w:val="00790431"/>
    <w:rsid w:val="007D122F"/>
    <w:rsid w:val="007D44A2"/>
    <w:rsid w:val="007E4B39"/>
    <w:rsid w:val="00824A87"/>
    <w:rsid w:val="00852DE9"/>
    <w:rsid w:val="00865B1F"/>
    <w:rsid w:val="00867339"/>
    <w:rsid w:val="008745B9"/>
    <w:rsid w:val="008772CA"/>
    <w:rsid w:val="00895B0D"/>
    <w:rsid w:val="008B2ED1"/>
    <w:rsid w:val="008D65E1"/>
    <w:rsid w:val="008F76E6"/>
    <w:rsid w:val="00935104"/>
    <w:rsid w:val="0097780D"/>
    <w:rsid w:val="009C09E2"/>
    <w:rsid w:val="009D4500"/>
    <w:rsid w:val="009E42FD"/>
    <w:rsid w:val="009E6ACF"/>
    <w:rsid w:val="00A34D6E"/>
    <w:rsid w:val="00A66BEF"/>
    <w:rsid w:val="00A71D0F"/>
    <w:rsid w:val="00A80A49"/>
    <w:rsid w:val="00A8125A"/>
    <w:rsid w:val="00AB78F6"/>
    <w:rsid w:val="00AC6EBA"/>
    <w:rsid w:val="00AF299A"/>
    <w:rsid w:val="00B119A7"/>
    <w:rsid w:val="00B13EC1"/>
    <w:rsid w:val="00B27CC0"/>
    <w:rsid w:val="00B379A4"/>
    <w:rsid w:val="00BB58C8"/>
    <w:rsid w:val="00BC76E9"/>
    <w:rsid w:val="00BD0997"/>
    <w:rsid w:val="00BD0DDF"/>
    <w:rsid w:val="00C0339B"/>
    <w:rsid w:val="00C0436A"/>
    <w:rsid w:val="00C04DD7"/>
    <w:rsid w:val="00C1485A"/>
    <w:rsid w:val="00C32DA4"/>
    <w:rsid w:val="00C46C85"/>
    <w:rsid w:val="00C87BC1"/>
    <w:rsid w:val="00CD404C"/>
    <w:rsid w:val="00CF6AA1"/>
    <w:rsid w:val="00D31B2C"/>
    <w:rsid w:val="00D434CB"/>
    <w:rsid w:val="00D5462E"/>
    <w:rsid w:val="00D92EB5"/>
    <w:rsid w:val="00DA2254"/>
    <w:rsid w:val="00DA75FE"/>
    <w:rsid w:val="00DB1241"/>
    <w:rsid w:val="00DB69AF"/>
    <w:rsid w:val="00DC3492"/>
    <w:rsid w:val="00DC53D5"/>
    <w:rsid w:val="00E248B6"/>
    <w:rsid w:val="00E46AB1"/>
    <w:rsid w:val="00E96140"/>
    <w:rsid w:val="00EA4DB7"/>
    <w:rsid w:val="00ED3330"/>
    <w:rsid w:val="00F12CAD"/>
    <w:rsid w:val="00F27A65"/>
    <w:rsid w:val="00F51F03"/>
    <w:rsid w:val="00F66131"/>
    <w:rsid w:val="00F803D7"/>
    <w:rsid w:val="00F86CF0"/>
    <w:rsid w:val="00FC506A"/>
    <w:rsid w:val="00FD5C0C"/>
    <w:rsid w:val="00FD6FBF"/>
    <w:rsid w:val="00FE6E4C"/>
    <w:rsid w:val="00FF550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A39DF1E"/>
  <w15:docId w15:val="{383F0A90-3B7F-4F4D-95F8-05BCB9D11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D122F"/>
    <w:pPr>
      <w:suppressAutoHyphens/>
    </w:pPr>
    <w:rPr>
      <w:rFonts w:ascii="H-Times New Roman" w:hAnsi="H-Times New Roman" w:cs="H-Times New Roman"/>
      <w:sz w:val="24"/>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bsatz-Standardschriftart">
    <w:name w:val="Absatz-Standardschriftart"/>
    <w:rsid w:val="007D122F"/>
  </w:style>
  <w:style w:type="character" w:customStyle="1" w:styleId="WW-Absatz-Standardschriftart">
    <w:name w:val="WW-Absatz-Standardschriftart"/>
    <w:rsid w:val="007D122F"/>
  </w:style>
  <w:style w:type="character" w:customStyle="1" w:styleId="WW-Absatz-Standardschriftart1">
    <w:name w:val="WW-Absatz-Standardschriftart1"/>
    <w:rsid w:val="007D122F"/>
  </w:style>
  <w:style w:type="character" w:customStyle="1" w:styleId="WW-Absatz-Standardschriftart11">
    <w:name w:val="WW-Absatz-Standardschriftart11"/>
    <w:rsid w:val="007D122F"/>
  </w:style>
  <w:style w:type="character" w:customStyle="1" w:styleId="Bekezdsalapbettpusa2">
    <w:name w:val="Bekezdés alapbetűtípusa2"/>
    <w:rsid w:val="007D122F"/>
  </w:style>
  <w:style w:type="character" w:customStyle="1" w:styleId="WW-Absatz-Standardschriftart111">
    <w:name w:val="WW-Absatz-Standardschriftart111"/>
    <w:rsid w:val="007D122F"/>
  </w:style>
  <w:style w:type="character" w:customStyle="1" w:styleId="Bekezdsalapbettpusa1">
    <w:name w:val="Bekezdés alapbetűtípusa1"/>
    <w:rsid w:val="007D122F"/>
  </w:style>
  <w:style w:type="character" w:styleId="Hiperhivatkozs">
    <w:name w:val="Hyperlink"/>
    <w:rsid w:val="007D122F"/>
    <w:rPr>
      <w:color w:val="0000FF"/>
      <w:u w:val="single"/>
    </w:rPr>
  </w:style>
  <w:style w:type="character" w:customStyle="1" w:styleId="Szmozsjelek">
    <w:name w:val="Számozásjelek"/>
    <w:rsid w:val="007D122F"/>
  </w:style>
  <w:style w:type="paragraph" w:customStyle="1" w:styleId="Cmsor">
    <w:name w:val="Címsor"/>
    <w:basedOn w:val="Norml"/>
    <w:next w:val="Szvegtrzs"/>
    <w:rsid w:val="007D122F"/>
    <w:pPr>
      <w:keepNext/>
      <w:spacing w:before="240" w:after="120"/>
    </w:pPr>
    <w:rPr>
      <w:rFonts w:ascii="Arial" w:eastAsia="DejaVu Sans" w:hAnsi="Arial" w:cs="DejaVu Sans"/>
      <w:sz w:val="28"/>
      <w:szCs w:val="28"/>
    </w:rPr>
  </w:style>
  <w:style w:type="paragraph" w:styleId="Szvegtrzs">
    <w:name w:val="Body Text"/>
    <w:basedOn w:val="Norml"/>
    <w:rsid w:val="007D122F"/>
    <w:pPr>
      <w:spacing w:after="120"/>
    </w:pPr>
  </w:style>
  <w:style w:type="paragraph" w:styleId="Lista">
    <w:name w:val="List"/>
    <w:basedOn w:val="Szvegtrzs"/>
    <w:rsid w:val="007D122F"/>
  </w:style>
  <w:style w:type="paragraph" w:styleId="Kpalrs">
    <w:name w:val="caption"/>
    <w:basedOn w:val="Norml"/>
    <w:qFormat/>
    <w:rsid w:val="007D122F"/>
    <w:pPr>
      <w:suppressLineNumbers/>
      <w:spacing w:before="120" w:after="120"/>
    </w:pPr>
    <w:rPr>
      <w:i/>
      <w:iCs/>
      <w:szCs w:val="24"/>
    </w:rPr>
  </w:style>
  <w:style w:type="paragraph" w:customStyle="1" w:styleId="Trgymutat">
    <w:name w:val="Tárgymutató"/>
    <w:basedOn w:val="Norml"/>
    <w:rsid w:val="007D122F"/>
    <w:pPr>
      <w:suppressLineNumbers/>
    </w:pPr>
  </w:style>
  <w:style w:type="paragraph" w:styleId="lfej">
    <w:name w:val="header"/>
    <w:basedOn w:val="Norml"/>
    <w:rsid w:val="007D122F"/>
    <w:pPr>
      <w:tabs>
        <w:tab w:val="center" w:pos="4536"/>
        <w:tab w:val="right" w:pos="9072"/>
      </w:tabs>
    </w:pPr>
  </w:style>
  <w:style w:type="paragraph" w:styleId="llb">
    <w:name w:val="footer"/>
    <w:basedOn w:val="Norml"/>
    <w:link w:val="llbChar"/>
    <w:uiPriority w:val="99"/>
    <w:rsid w:val="007D122F"/>
    <w:pPr>
      <w:tabs>
        <w:tab w:val="center" w:pos="4536"/>
        <w:tab w:val="right" w:pos="9072"/>
      </w:tabs>
    </w:pPr>
  </w:style>
  <w:style w:type="paragraph" w:styleId="Buborkszveg">
    <w:name w:val="Balloon Text"/>
    <w:basedOn w:val="Norml"/>
    <w:rsid w:val="007D122F"/>
    <w:rPr>
      <w:rFonts w:ascii="Tahoma" w:hAnsi="Tahoma" w:cs="Tahoma"/>
      <w:sz w:val="16"/>
      <w:szCs w:val="16"/>
    </w:rPr>
  </w:style>
  <w:style w:type="paragraph" w:customStyle="1" w:styleId="Kerettartalom">
    <w:name w:val="Kerettartalom"/>
    <w:basedOn w:val="Szvegtrzs"/>
    <w:rsid w:val="007D122F"/>
  </w:style>
  <w:style w:type="paragraph" w:styleId="HTML-kntformzott">
    <w:name w:val="HTML Preformatted"/>
    <w:basedOn w:val="Norml"/>
    <w:rsid w:val="007D1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styleId="Jegyzethivatkozs">
    <w:name w:val="annotation reference"/>
    <w:basedOn w:val="Bekezdsalapbettpusa"/>
    <w:uiPriority w:val="99"/>
    <w:semiHidden/>
    <w:unhideWhenUsed/>
    <w:rsid w:val="00A34D6E"/>
    <w:rPr>
      <w:sz w:val="16"/>
      <w:szCs w:val="16"/>
    </w:rPr>
  </w:style>
  <w:style w:type="paragraph" w:styleId="Jegyzetszveg">
    <w:name w:val="annotation text"/>
    <w:basedOn w:val="Norml"/>
    <w:link w:val="JegyzetszvegChar"/>
    <w:uiPriority w:val="99"/>
    <w:semiHidden/>
    <w:unhideWhenUsed/>
    <w:rsid w:val="00A34D6E"/>
    <w:pPr>
      <w:suppressAutoHyphens w:val="0"/>
      <w:spacing w:after="160"/>
    </w:pPr>
    <w:rPr>
      <w:rFonts w:asciiTheme="minorHAnsi" w:eastAsiaTheme="minorHAnsi" w:hAnsiTheme="minorHAnsi" w:cstheme="minorBidi"/>
      <w:sz w:val="20"/>
      <w:lang w:eastAsia="en-US"/>
    </w:rPr>
  </w:style>
  <w:style w:type="character" w:customStyle="1" w:styleId="JegyzetszvegChar">
    <w:name w:val="Jegyzetszöveg Char"/>
    <w:basedOn w:val="Bekezdsalapbettpusa"/>
    <w:link w:val="Jegyzetszveg"/>
    <w:uiPriority w:val="99"/>
    <w:semiHidden/>
    <w:rsid w:val="00A34D6E"/>
    <w:rPr>
      <w:rFonts w:asciiTheme="minorHAnsi" w:eastAsiaTheme="minorHAnsi" w:hAnsiTheme="minorHAnsi" w:cstheme="minorBidi"/>
      <w:lang w:eastAsia="en-US"/>
    </w:rPr>
  </w:style>
  <w:style w:type="character" w:customStyle="1" w:styleId="llbChar">
    <w:name w:val="Élőláb Char"/>
    <w:basedOn w:val="Bekezdsalapbettpusa"/>
    <w:link w:val="llb"/>
    <w:uiPriority w:val="99"/>
    <w:rsid w:val="00824A87"/>
    <w:rPr>
      <w:rFonts w:ascii="H-Times New Roman" w:hAnsi="H-Times New Roman" w:cs="H-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94CA81-0B87-4A6E-8DB6-11FCE8700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977</Words>
  <Characters>6744</Characters>
  <Application>Microsoft Office Word</Application>
  <DocSecurity>0</DocSecurity>
  <Lines>56</Lines>
  <Paragraphs>15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7706</CharactersWithSpaces>
  <SharedDoc>false</SharedDoc>
  <HLinks>
    <vt:vector size="6" baseType="variant">
      <vt:variant>
        <vt:i4>3014732</vt:i4>
      </vt:variant>
      <vt:variant>
        <vt:i4>0</vt:i4>
      </vt:variant>
      <vt:variant>
        <vt:i4>0</vt:i4>
      </vt:variant>
      <vt:variant>
        <vt:i4>5</vt:i4>
      </vt:variant>
      <vt:variant>
        <vt:lpwstr>mailto:hoktitkar@ttkhok.elte.hu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titkár</dc:creator>
  <cp:lastModifiedBy>Hoksza Zsolt</cp:lastModifiedBy>
  <cp:revision>3</cp:revision>
  <cp:lastPrinted>2012-08-09T11:55:00Z</cp:lastPrinted>
  <dcterms:created xsi:type="dcterms:W3CDTF">2017-05-10T10:33:00Z</dcterms:created>
  <dcterms:modified xsi:type="dcterms:W3CDTF">2017-05-10T12:31:00Z</dcterms:modified>
</cp:coreProperties>
</file>