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456" w:rsidRPr="00612A39" w:rsidRDefault="00363456" w:rsidP="00100D02">
      <w:pPr>
        <w:tabs>
          <w:tab w:val="left" w:pos="930"/>
          <w:tab w:val="center" w:pos="4536"/>
        </w:tabs>
        <w:spacing w:line="276" w:lineRule="auto"/>
        <w:jc w:val="center"/>
        <w:rPr>
          <w:rFonts w:ascii="Footlight MT Light" w:hAnsi="Footlight MT Light" w:cs="AngsanaUPC"/>
          <w:b/>
          <w:sz w:val="44"/>
        </w:rPr>
      </w:pPr>
      <w:r w:rsidRPr="00612A39">
        <w:rPr>
          <w:rFonts w:ascii="Footlight MT Light" w:hAnsi="Footlight MT Light" w:cs="AngsanaUPC"/>
          <w:b/>
          <w:noProof/>
          <w:sz w:val="40"/>
          <w:lang w:eastAsia="hu-HU"/>
        </w:rPr>
        <w:drawing>
          <wp:anchor distT="0" distB="0" distL="114300" distR="114300" simplePos="0" relativeHeight="251660288" behindDoc="1" locked="0" layoutInCell="1" allowOverlap="1" wp14:anchorId="545AFFB7" wp14:editId="4210FB01">
            <wp:simplePos x="0" y="0"/>
            <wp:positionH relativeFrom="margin">
              <wp:align>right</wp:align>
            </wp:positionH>
            <wp:positionV relativeFrom="paragraph">
              <wp:posOffset>-7931</wp:posOffset>
            </wp:positionV>
            <wp:extent cx="1152000" cy="1065095"/>
            <wp:effectExtent l="0" t="0" r="0" b="190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tettk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06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A39">
        <w:rPr>
          <w:rFonts w:ascii="Footlight MT Light" w:hAnsi="Footlight MT Light" w:cs="AngsanaUPC"/>
          <w:b/>
          <w:noProof/>
          <w:sz w:val="40"/>
          <w:lang w:eastAsia="hu-HU"/>
        </w:rPr>
        <w:drawing>
          <wp:anchor distT="0" distB="0" distL="114300" distR="114300" simplePos="0" relativeHeight="251658240" behindDoc="1" locked="0" layoutInCell="1" allowOverlap="1" wp14:anchorId="207A21F1" wp14:editId="0874E67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60000" cy="12600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te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A39">
        <w:rPr>
          <w:rFonts w:ascii="Footlight MT Light" w:hAnsi="Footlight MT Light" w:cs="AngsanaUPC"/>
          <w:b/>
          <w:sz w:val="44"/>
        </w:rPr>
        <w:t>Eötvös Loránd Tudományegyetem</w:t>
      </w:r>
    </w:p>
    <w:p w:rsidR="00363456" w:rsidRPr="00612A39" w:rsidRDefault="00363456" w:rsidP="00100D02">
      <w:pPr>
        <w:tabs>
          <w:tab w:val="left" w:pos="854"/>
          <w:tab w:val="center" w:pos="4536"/>
          <w:tab w:val="center" w:pos="5102"/>
          <w:tab w:val="right" w:pos="9072"/>
        </w:tabs>
        <w:spacing w:line="276" w:lineRule="auto"/>
        <w:jc w:val="center"/>
        <w:rPr>
          <w:rFonts w:ascii="Footlight MT Light" w:hAnsi="Footlight MT Light" w:cs="AngsanaUPC"/>
          <w:b/>
          <w:sz w:val="48"/>
        </w:rPr>
      </w:pPr>
      <w:r w:rsidRPr="00612A39">
        <w:rPr>
          <w:rFonts w:ascii="Footlight MT Light" w:hAnsi="Footlight MT Light" w:cs="AngsanaUPC"/>
          <w:b/>
          <w:sz w:val="48"/>
        </w:rPr>
        <w:t>Természettudományi Kar</w:t>
      </w:r>
    </w:p>
    <w:p w:rsidR="00363456" w:rsidRPr="00612A39" w:rsidRDefault="00363456" w:rsidP="00100D02">
      <w:pPr>
        <w:spacing w:line="276" w:lineRule="auto"/>
        <w:jc w:val="center"/>
        <w:rPr>
          <w:rFonts w:ascii="Footlight MT Light" w:hAnsi="Footlight MT Light" w:cs="AngsanaUPC"/>
          <w:b/>
          <w:sz w:val="40"/>
        </w:rPr>
      </w:pPr>
      <w:r w:rsidRPr="00612A39">
        <w:rPr>
          <w:rFonts w:ascii="Footlight MT Light" w:hAnsi="Footlight MT Light" w:cs="AngsanaUPC"/>
          <w:b/>
          <w:sz w:val="40"/>
        </w:rPr>
        <w:t>Hallgatói Önkormányzat</w:t>
      </w:r>
    </w:p>
    <w:p w:rsidR="00612A39" w:rsidRPr="00D0698A" w:rsidRDefault="00363456" w:rsidP="00100D02">
      <w:pPr>
        <w:spacing w:line="276" w:lineRule="auto"/>
        <w:jc w:val="center"/>
        <w:rPr>
          <w:rFonts w:ascii="Footlight MT Light" w:hAnsi="Footlight MT Light" w:cs="AngsanaUPC"/>
          <w:sz w:val="26"/>
          <w:szCs w:val="26"/>
        </w:rPr>
      </w:pPr>
      <w:r w:rsidRPr="00D0698A">
        <w:rPr>
          <w:rFonts w:ascii="Footlight MT Light" w:hAnsi="Footlight MT Light" w:cs="AngsanaUPC"/>
          <w:sz w:val="26"/>
          <w:szCs w:val="26"/>
        </w:rPr>
        <w:t>1117 Budapest, Pázmány Péter Sétány 1/A.</w:t>
      </w:r>
    </w:p>
    <w:p w:rsidR="00B4677D" w:rsidRPr="00100D02" w:rsidRDefault="00B4677D" w:rsidP="00100D02">
      <w:pPr>
        <w:spacing w:line="276" w:lineRule="auto"/>
        <w:jc w:val="center"/>
        <w:rPr>
          <w:rFonts w:ascii="Footlight MT Light" w:hAnsi="Footlight MT Light" w:cs="AngsanaUPC"/>
          <w:sz w:val="28"/>
        </w:rPr>
      </w:pPr>
    </w:p>
    <w:p w:rsidR="00612A39" w:rsidRDefault="00612A39" w:rsidP="00612A39">
      <w:pPr>
        <w:spacing w:line="276" w:lineRule="auto"/>
        <w:jc w:val="center"/>
        <w:rPr>
          <w:rFonts w:ascii="Footlight MT Light" w:hAnsi="Footlight MT Light" w:cs="AngsanaUPC"/>
          <w:sz w:val="36"/>
        </w:rPr>
      </w:pPr>
      <w:r w:rsidRPr="009E025A">
        <w:rPr>
          <w:rFonts w:ascii="Footlight MT Light" w:hAnsi="Footlight MT Light" w:cs="AngsanaUPC"/>
          <w:sz w:val="36"/>
        </w:rPr>
        <w:t>ELTE TTK HÖK Gólyatábor</w:t>
      </w:r>
    </w:p>
    <w:p w:rsidR="00100D02" w:rsidRPr="0066667A" w:rsidRDefault="0066667A" w:rsidP="00983103">
      <w:pPr>
        <w:spacing w:line="276" w:lineRule="auto"/>
        <w:jc w:val="center"/>
        <w:rPr>
          <w:rFonts w:ascii="Footlight MT Light" w:hAnsi="Footlight MT Light" w:cs="AngsanaUPC"/>
          <w:sz w:val="28"/>
          <w:u w:val="single"/>
        </w:rPr>
      </w:pPr>
      <w:r>
        <w:rPr>
          <w:rFonts w:ascii="Footlight MT Light" w:hAnsi="Footlight MT Light" w:cs="AngsanaUPC"/>
          <w:sz w:val="28"/>
          <w:u w:val="single"/>
        </w:rPr>
        <w:t xml:space="preserve">Helyszín: </w:t>
      </w:r>
      <w:r w:rsidRPr="0066667A">
        <w:rPr>
          <w:rFonts w:ascii="Footlight MT Light" w:hAnsi="Footlight MT Light" w:cs="AngsanaUPC"/>
          <w:sz w:val="28"/>
          <w:u w:val="single"/>
        </w:rPr>
        <w:t>Bódvarákó</w:t>
      </w:r>
      <w:r>
        <w:rPr>
          <w:rFonts w:ascii="Footlight MT Light" w:hAnsi="Footlight MT Light" w:cs="AngsanaUPC"/>
          <w:sz w:val="28"/>
          <w:u w:val="single"/>
        </w:rPr>
        <w:t xml:space="preserve"> spor</w:t>
      </w:r>
      <w:r w:rsidR="00600A03">
        <w:rPr>
          <w:rFonts w:ascii="Footlight MT Light" w:hAnsi="Footlight MT Light" w:cs="AngsanaUPC"/>
          <w:sz w:val="28"/>
          <w:u w:val="single"/>
        </w:rPr>
        <w:t>t</w:t>
      </w:r>
      <w:r w:rsidR="001117A6">
        <w:rPr>
          <w:rFonts w:ascii="Footlight MT Light" w:hAnsi="Footlight MT Light" w:cs="AngsanaUPC"/>
          <w:sz w:val="28"/>
          <w:u w:val="single"/>
        </w:rPr>
        <w:t>pálya</w:t>
      </w:r>
    </w:p>
    <w:p w:rsidR="00612A39" w:rsidRPr="00D009FF" w:rsidRDefault="00612A39" w:rsidP="00612A39">
      <w:pPr>
        <w:rPr>
          <w:rFonts w:ascii="Footlight MT Light" w:hAnsi="Footlight MT Light" w:cs="Times New Roman"/>
          <w:i/>
          <w:sz w:val="28"/>
          <w:u w:val="single"/>
        </w:rPr>
      </w:pPr>
      <w:r w:rsidRPr="00D009FF">
        <w:rPr>
          <w:rFonts w:ascii="Footlight MT Light" w:hAnsi="Footlight MT Light" w:cs="Times New Roman"/>
          <w:i/>
          <w:sz w:val="28"/>
          <w:u w:val="single"/>
        </w:rPr>
        <w:t>El</w:t>
      </w:r>
      <w:r w:rsidRPr="00D009FF">
        <w:rPr>
          <w:rFonts w:ascii="Calibri" w:hAnsi="Calibri" w:cs="Calibri"/>
          <w:i/>
          <w:sz w:val="28"/>
          <w:u w:val="single"/>
        </w:rPr>
        <w:t>ő</w:t>
      </w:r>
      <w:r w:rsidRPr="00D009FF">
        <w:rPr>
          <w:rFonts w:ascii="Footlight MT Light" w:hAnsi="Footlight MT Light" w:cs="Times New Roman"/>
          <w:i/>
          <w:sz w:val="28"/>
          <w:u w:val="single"/>
        </w:rPr>
        <w:t>k</w:t>
      </w:r>
      <w:r w:rsidRPr="00D009FF">
        <w:rPr>
          <w:rFonts w:ascii="Footlight MT Light" w:hAnsi="Footlight MT Light" w:cs="Footlight MT Light"/>
          <w:i/>
          <w:sz w:val="28"/>
          <w:u w:val="single"/>
        </w:rPr>
        <w:t>é</w:t>
      </w:r>
      <w:r w:rsidRPr="00D009FF">
        <w:rPr>
          <w:rFonts w:ascii="Footlight MT Light" w:hAnsi="Footlight MT Light" w:cs="Times New Roman"/>
          <w:i/>
          <w:sz w:val="28"/>
          <w:u w:val="single"/>
        </w:rPr>
        <w:t>sz</w:t>
      </w:r>
      <w:r w:rsidRPr="00D009FF">
        <w:rPr>
          <w:rFonts w:ascii="Footlight MT Light" w:hAnsi="Footlight MT Light" w:cs="Footlight MT Light"/>
          <w:i/>
          <w:sz w:val="28"/>
          <w:u w:val="single"/>
        </w:rPr>
        <w:t>í</w:t>
      </w:r>
      <w:r w:rsidRPr="00D009FF">
        <w:rPr>
          <w:rFonts w:ascii="Footlight MT Light" w:hAnsi="Footlight MT Light" w:cs="Times New Roman"/>
          <w:i/>
          <w:sz w:val="28"/>
          <w:u w:val="single"/>
        </w:rPr>
        <w:t>t</w:t>
      </w:r>
      <w:r w:rsidRPr="00D009FF">
        <w:rPr>
          <w:rFonts w:ascii="Footlight MT Light" w:hAnsi="Footlight MT Light" w:cs="Footlight MT Light"/>
          <w:i/>
          <w:sz w:val="28"/>
          <w:u w:val="single"/>
        </w:rPr>
        <w:t>é</w:t>
      </w:r>
      <w:r w:rsidRPr="00D009FF">
        <w:rPr>
          <w:rFonts w:ascii="Footlight MT Light" w:hAnsi="Footlight MT Light" w:cs="Times New Roman"/>
          <w:i/>
          <w:sz w:val="28"/>
          <w:u w:val="single"/>
        </w:rPr>
        <w:t>sben k</w:t>
      </w:r>
      <w:r w:rsidRPr="00D009FF">
        <w:rPr>
          <w:rFonts w:ascii="Footlight MT Light" w:hAnsi="Footlight MT Light" w:cs="Footlight MT Light"/>
          <w:i/>
          <w:sz w:val="28"/>
          <w:u w:val="single"/>
        </w:rPr>
        <w:t>ö</w:t>
      </w:r>
      <w:r w:rsidRPr="00D009FF">
        <w:rPr>
          <w:rFonts w:ascii="Footlight MT Light" w:hAnsi="Footlight MT Light" w:cs="Times New Roman"/>
          <w:i/>
          <w:sz w:val="28"/>
          <w:u w:val="single"/>
        </w:rPr>
        <w:t>zrem</w:t>
      </w:r>
      <w:r w:rsidRPr="00D009FF">
        <w:rPr>
          <w:rFonts w:ascii="Calibri" w:hAnsi="Calibri" w:cs="Calibri"/>
          <w:i/>
          <w:sz w:val="28"/>
          <w:u w:val="single"/>
        </w:rPr>
        <w:t>ű</w:t>
      </w:r>
      <w:r w:rsidRPr="00D009FF">
        <w:rPr>
          <w:rFonts w:ascii="Footlight MT Light" w:hAnsi="Footlight MT Light" w:cs="Times New Roman"/>
          <w:i/>
          <w:sz w:val="28"/>
          <w:u w:val="single"/>
        </w:rPr>
        <w:t>k</w:t>
      </w:r>
      <w:r w:rsidRPr="00D009FF">
        <w:rPr>
          <w:rFonts w:ascii="Footlight MT Light" w:hAnsi="Footlight MT Light" w:cs="Footlight MT Light"/>
          <w:i/>
          <w:sz w:val="28"/>
          <w:u w:val="single"/>
        </w:rPr>
        <w:t>ö</w:t>
      </w:r>
      <w:r w:rsidRPr="00D009FF">
        <w:rPr>
          <w:rFonts w:ascii="Footlight MT Light" w:hAnsi="Footlight MT Light" w:cs="Times New Roman"/>
          <w:i/>
          <w:sz w:val="28"/>
          <w:u w:val="single"/>
        </w:rPr>
        <w:t>dött:</w:t>
      </w:r>
    </w:p>
    <w:p w:rsidR="00612A39" w:rsidRPr="00D009FF" w:rsidRDefault="00612A39" w:rsidP="00612A39">
      <w:pPr>
        <w:rPr>
          <w:rFonts w:ascii="Footlight MT Light" w:hAnsi="Footlight MT Light" w:cs="Times New Roman"/>
          <w:sz w:val="24"/>
        </w:rPr>
      </w:pPr>
      <w:r w:rsidRPr="00D009FF">
        <w:rPr>
          <w:rFonts w:ascii="Footlight MT Light" w:hAnsi="Footlight MT Light" w:cs="Times New Roman"/>
          <w:sz w:val="24"/>
        </w:rPr>
        <w:t xml:space="preserve">Égerházi Bálint, Kovács Dániel, </w:t>
      </w:r>
      <w:proofErr w:type="spellStart"/>
      <w:r w:rsidRPr="00D009FF">
        <w:rPr>
          <w:rFonts w:ascii="Footlight MT Light" w:hAnsi="Footlight MT Light" w:cs="Times New Roman"/>
          <w:sz w:val="24"/>
        </w:rPr>
        <w:t>Bokodi</w:t>
      </w:r>
      <w:proofErr w:type="spellEnd"/>
      <w:r w:rsidRPr="00D009FF">
        <w:rPr>
          <w:rFonts w:ascii="Footlight MT Light" w:hAnsi="Footlight MT Light" w:cs="Times New Roman"/>
          <w:sz w:val="24"/>
        </w:rPr>
        <w:t xml:space="preserve"> Eszter, </w:t>
      </w:r>
      <w:proofErr w:type="spellStart"/>
      <w:r w:rsidRPr="00D009FF">
        <w:rPr>
          <w:rFonts w:ascii="Footlight MT Light" w:hAnsi="Footlight MT Light" w:cs="Times New Roman"/>
          <w:sz w:val="24"/>
        </w:rPr>
        <w:t>Plankó</w:t>
      </w:r>
      <w:proofErr w:type="spellEnd"/>
      <w:r w:rsidRPr="00D009FF">
        <w:rPr>
          <w:rFonts w:ascii="Footlight MT Light" w:hAnsi="Footlight MT Light" w:cs="Times New Roman"/>
          <w:sz w:val="24"/>
        </w:rPr>
        <w:t xml:space="preserve"> Eszter, Németh Csilla, Balga Gábor, Magyari Sándor, Tuza Benedek, </w:t>
      </w:r>
      <w:proofErr w:type="spellStart"/>
      <w:r w:rsidRPr="00D009FF">
        <w:rPr>
          <w:rFonts w:ascii="Footlight MT Light" w:hAnsi="Footlight MT Light" w:cs="Times New Roman"/>
          <w:sz w:val="24"/>
        </w:rPr>
        <w:t>Lekics</w:t>
      </w:r>
      <w:proofErr w:type="spellEnd"/>
      <w:r w:rsidRPr="00D009FF">
        <w:rPr>
          <w:rFonts w:ascii="Footlight MT Light" w:hAnsi="Footlight MT Light" w:cs="Times New Roman"/>
          <w:sz w:val="24"/>
        </w:rPr>
        <w:t xml:space="preserve"> László, Laza Dániel</w:t>
      </w:r>
    </w:p>
    <w:p w:rsidR="00612A39" w:rsidRPr="00D009FF" w:rsidRDefault="00612A39" w:rsidP="00612A39">
      <w:pPr>
        <w:rPr>
          <w:rFonts w:ascii="Footlight MT Light" w:hAnsi="Footlight MT Light" w:cs="Times New Roman"/>
          <w:i/>
          <w:sz w:val="28"/>
          <w:u w:val="single"/>
        </w:rPr>
      </w:pPr>
      <w:r w:rsidRPr="00D009FF">
        <w:rPr>
          <w:rFonts w:ascii="Footlight MT Light" w:hAnsi="Footlight MT Light" w:cs="Times New Roman"/>
          <w:i/>
          <w:sz w:val="28"/>
          <w:u w:val="single"/>
        </w:rPr>
        <w:t>Szerkesztette:</w:t>
      </w:r>
    </w:p>
    <w:p w:rsidR="00612A39" w:rsidRPr="00D009FF" w:rsidRDefault="00612A39" w:rsidP="00612A39">
      <w:pPr>
        <w:rPr>
          <w:rFonts w:ascii="Footlight MT Light" w:hAnsi="Footlight MT Light" w:cs="Times New Roman"/>
          <w:sz w:val="24"/>
        </w:rPr>
      </w:pPr>
      <w:r w:rsidRPr="00D009FF">
        <w:rPr>
          <w:rFonts w:ascii="Footlight MT Light" w:hAnsi="Footlight MT Light" w:cs="Times New Roman"/>
          <w:sz w:val="24"/>
        </w:rPr>
        <w:t>Tuza Benedek, Laza Dániel</w:t>
      </w:r>
    </w:p>
    <w:p w:rsidR="00612A39" w:rsidRPr="007D5045" w:rsidRDefault="00612A39" w:rsidP="0066667A">
      <w:pPr>
        <w:spacing w:line="276" w:lineRule="auto"/>
        <w:jc w:val="center"/>
        <w:rPr>
          <w:rFonts w:ascii="Footlight MT Light" w:hAnsi="Footlight MT Light" w:cs="Times New Roman"/>
          <w:b/>
          <w:sz w:val="28"/>
        </w:rPr>
      </w:pPr>
      <w:r w:rsidRPr="007D5045">
        <w:rPr>
          <w:rFonts w:ascii="Footlight MT Light" w:hAnsi="Footlight MT Light" w:cs="Times New Roman"/>
          <w:b/>
          <w:sz w:val="28"/>
        </w:rPr>
        <w:t xml:space="preserve">I. </w:t>
      </w:r>
      <w:r w:rsidR="00100D02" w:rsidRPr="007D5045">
        <w:rPr>
          <w:rFonts w:ascii="Footlight MT Light" w:hAnsi="Footlight MT Light" w:cs="Times New Roman"/>
          <w:b/>
          <w:sz w:val="28"/>
        </w:rPr>
        <w:t>TAPASZTALATAINK</w:t>
      </w:r>
    </w:p>
    <w:p w:rsidR="009C73E6" w:rsidRPr="009C73E6" w:rsidRDefault="009C73E6" w:rsidP="009C73E6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 xml:space="preserve">Az ELTE TTK HÖK 2018 augusztusában megrendezte az első olyan </w:t>
      </w:r>
      <w:proofErr w:type="spellStart"/>
      <w:r w:rsidRPr="009C73E6">
        <w:rPr>
          <w:rFonts w:ascii="Times New Roman" w:hAnsi="Times New Roman" w:cs="Times New Roman"/>
          <w:sz w:val="24"/>
          <w:szCs w:val="24"/>
        </w:rPr>
        <w:t>gólyatábort</w:t>
      </w:r>
      <w:proofErr w:type="spellEnd"/>
      <w:r w:rsidRPr="009C73E6">
        <w:rPr>
          <w:rFonts w:ascii="Times New Roman" w:hAnsi="Times New Roman" w:cs="Times New Roman"/>
          <w:sz w:val="24"/>
          <w:szCs w:val="24"/>
        </w:rPr>
        <w:t xml:space="preserve">, amelyen a kar összes szakterülete részt vett. Tapasztalataink függvényében rengeteg fejlesztésre van szükség, de egyúttal bizonyítást nyert a tény, hogy az </w:t>
      </w:r>
      <w:proofErr w:type="spellStart"/>
      <w:r w:rsidRPr="009C73E6">
        <w:rPr>
          <w:rFonts w:ascii="Times New Roman" w:hAnsi="Times New Roman" w:cs="Times New Roman"/>
          <w:sz w:val="24"/>
          <w:szCs w:val="24"/>
        </w:rPr>
        <w:t>össz</w:t>
      </w:r>
      <w:proofErr w:type="spellEnd"/>
      <w:r w:rsidRPr="009C73E6">
        <w:rPr>
          <w:rFonts w:ascii="Times New Roman" w:hAnsi="Times New Roman" w:cs="Times New Roman"/>
          <w:sz w:val="24"/>
          <w:szCs w:val="24"/>
        </w:rPr>
        <w:t xml:space="preserve">-TTK tábor kiváló döntés volt. Lévén első alkalom, gyakorlatilag egyfajta „tesztként” működött, és véleményünk szerint a kezdeti nehézségeket képesek vagyunk magunk mögött hagyni a következő táborokra. Az értékelő kérdőív (amit az elsőévesek közül 593-an töltöttek ki) kimondottan jó visszhangot tükröz, amely kicsit meglepő volt a tábort követő időszak negatívabb felhangjai és véleményei után. A visszajelzések között rengeteg építő kritikát is találtunk. Legtöbben a higiéniai szolgáltatások komfortosságát és ellátási problémákat emelték ki, illetve a programok átszervezését javasolták. Ezeket természetesen mi is észleltük már a tábor ideje alatt és jövőre azon fogunk dolgozni, hogy ezek ne, vagy jelentősen kisebb mértékben forduljanak elő. A kitöltők 80%-a megfelelőnek gondolta a tábor ár/érték arányát. A tábori programok csupán 2 (!) ember tetszését nem nyerték el. Nagy újdonság volt a </w:t>
      </w:r>
      <w:proofErr w:type="spellStart"/>
      <w:r w:rsidRPr="009C73E6">
        <w:rPr>
          <w:rFonts w:ascii="Times New Roman" w:hAnsi="Times New Roman" w:cs="Times New Roman"/>
          <w:sz w:val="24"/>
          <w:szCs w:val="24"/>
        </w:rPr>
        <w:t>chillsátor</w:t>
      </w:r>
      <w:proofErr w:type="spellEnd"/>
      <w:r w:rsidRPr="009C73E6">
        <w:rPr>
          <w:rFonts w:ascii="Times New Roman" w:hAnsi="Times New Roman" w:cs="Times New Roman"/>
          <w:sz w:val="24"/>
          <w:szCs w:val="24"/>
        </w:rPr>
        <w:t>, ami osztatlan sikert aratott a szervezők és a gólyák körében egyaránt. Továbbra is szükségét érezzük a szimulációnak, szerintünk elengedhetetlen, hogy minden szervező tisztában legyen a helyszín körülményeivel. Át kell gondolni a programok időbeli elosztását, illetve mennyiségét. A felsoroltak közül minél több ötletet meg tudunk valósítani, hogy még tovább emeljük a tábor színvonalát.</w:t>
      </w:r>
    </w:p>
    <w:p w:rsidR="009C73E6" w:rsidRDefault="009C73E6" w:rsidP="00F90725">
      <w:pPr>
        <w:spacing w:before="240" w:line="276" w:lineRule="auto"/>
        <w:jc w:val="center"/>
        <w:rPr>
          <w:rFonts w:ascii="Footlight MT Light" w:hAnsi="Footlight MT Light" w:cs="Times New Roman"/>
          <w:b/>
          <w:sz w:val="28"/>
        </w:rPr>
      </w:pPr>
    </w:p>
    <w:p w:rsidR="009C73E6" w:rsidRDefault="00D052DD" w:rsidP="009C73E6">
      <w:pPr>
        <w:spacing w:before="240" w:line="276" w:lineRule="auto"/>
        <w:jc w:val="center"/>
        <w:rPr>
          <w:rFonts w:ascii="Footlight MT Light" w:hAnsi="Footlight MT Light" w:cs="Times New Roman"/>
          <w:b/>
          <w:sz w:val="28"/>
        </w:rPr>
      </w:pPr>
      <w:r w:rsidRPr="007D5045">
        <w:rPr>
          <w:rFonts w:ascii="Footlight MT Light" w:hAnsi="Footlight MT Light" w:cs="Times New Roman"/>
          <w:b/>
          <w:sz w:val="28"/>
        </w:rPr>
        <w:t>II. EL</w:t>
      </w:r>
      <w:r w:rsidRPr="007D5045">
        <w:rPr>
          <w:rFonts w:ascii="Cambria" w:hAnsi="Cambria" w:cs="Cambria"/>
          <w:b/>
          <w:sz w:val="28"/>
        </w:rPr>
        <w:t>Ő</w:t>
      </w:r>
      <w:r w:rsidRPr="007D5045">
        <w:rPr>
          <w:rFonts w:ascii="Footlight MT Light" w:hAnsi="Footlight MT Light" w:cs="Times New Roman"/>
          <w:b/>
          <w:sz w:val="28"/>
        </w:rPr>
        <w:t>NY</w:t>
      </w:r>
      <w:r w:rsidRPr="007D5045">
        <w:rPr>
          <w:rFonts w:ascii="Footlight MT Light" w:hAnsi="Footlight MT Light" w:cs="Footlight MT Light"/>
          <w:b/>
          <w:sz w:val="28"/>
        </w:rPr>
        <w:t>Ö</w:t>
      </w:r>
      <w:r w:rsidRPr="007D5045">
        <w:rPr>
          <w:rFonts w:ascii="Footlight MT Light" w:hAnsi="Footlight MT Light" w:cs="Times New Roman"/>
          <w:b/>
          <w:sz w:val="28"/>
        </w:rPr>
        <w:t>K</w:t>
      </w:r>
    </w:p>
    <w:p w:rsidR="009C73E6" w:rsidRPr="009C73E6" w:rsidRDefault="009C73E6" w:rsidP="009C73E6">
      <w:pPr>
        <w:pStyle w:val="Listaszerbekezds"/>
        <w:numPr>
          <w:ilvl w:val="0"/>
          <w:numId w:val="8"/>
        </w:numPr>
        <w:spacing w:before="240"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Tapasztalt szervezői gárda, akik nyitottak minden szakterület véleményére és igényeire.</w:t>
      </w:r>
    </w:p>
    <w:p w:rsidR="009C73E6" w:rsidRPr="009C73E6" w:rsidRDefault="009C73E6" w:rsidP="009C73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Folyamatosan fejleszthető és fejlődő infrastruktúra, amelynek kiépítésén önkéntesek dolgoznak.</w:t>
      </w:r>
    </w:p>
    <w:p w:rsidR="009C73E6" w:rsidRPr="009C73E6" w:rsidRDefault="009C73E6" w:rsidP="009C73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Gazdagabb és színvonalasabb programkínálat ekkora részvétellel - ez egyfajta fesztiválhangulatot kölcsönöz a tábornak, az ország egyik legkülönlegesebb természeti környezetében.</w:t>
      </w:r>
    </w:p>
    <w:p w:rsidR="009C73E6" w:rsidRPr="009C73E6" w:rsidRDefault="009C73E6" w:rsidP="009C73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A lehető leggazdaságosabb megvalósítás - mivel a táborhely (sportpálya) bérleti díja nem függ a létszámtól. Létszámkorlát gyakorlatilag nincs, a rét „virtuális befogadóképessége” ~ 1000 fő.</w:t>
      </w:r>
    </w:p>
    <w:p w:rsidR="00F4663A" w:rsidRPr="00F4663A" w:rsidRDefault="00F4663A" w:rsidP="00F4663A">
      <w:pPr>
        <w:tabs>
          <w:tab w:val="left" w:pos="930"/>
          <w:tab w:val="center" w:pos="4536"/>
        </w:tabs>
        <w:spacing w:line="276" w:lineRule="auto"/>
        <w:jc w:val="center"/>
        <w:rPr>
          <w:rFonts w:ascii="Footlight MT Light" w:hAnsi="Footlight MT Light" w:cs="AngsanaUPC"/>
          <w:b/>
          <w:sz w:val="44"/>
        </w:rPr>
      </w:pPr>
      <w:r w:rsidRPr="00612A39">
        <w:rPr>
          <w:noProof/>
          <w:sz w:val="40"/>
          <w:lang w:eastAsia="hu-HU"/>
        </w:rPr>
        <w:lastRenderedPageBreak/>
        <w:drawing>
          <wp:anchor distT="0" distB="0" distL="114300" distR="114300" simplePos="0" relativeHeight="251669504" behindDoc="1" locked="0" layoutInCell="1" allowOverlap="1" wp14:anchorId="52C92CE2" wp14:editId="0ACBABDA">
            <wp:simplePos x="0" y="0"/>
            <wp:positionH relativeFrom="margin">
              <wp:align>right</wp:align>
            </wp:positionH>
            <wp:positionV relativeFrom="paragraph">
              <wp:posOffset>-7931</wp:posOffset>
            </wp:positionV>
            <wp:extent cx="1152000" cy="1065095"/>
            <wp:effectExtent l="0" t="0" r="0" b="190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tettk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06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A39">
        <w:rPr>
          <w:noProof/>
          <w:sz w:val="40"/>
          <w:lang w:eastAsia="hu-HU"/>
        </w:rPr>
        <w:drawing>
          <wp:anchor distT="0" distB="0" distL="114300" distR="114300" simplePos="0" relativeHeight="251668480" behindDoc="1" locked="0" layoutInCell="1" allowOverlap="1" wp14:anchorId="428C8431" wp14:editId="23B815E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60000" cy="1260000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te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63A">
        <w:rPr>
          <w:rFonts w:ascii="Footlight MT Light" w:hAnsi="Footlight MT Light" w:cs="AngsanaUPC"/>
          <w:b/>
          <w:sz w:val="44"/>
        </w:rPr>
        <w:t>Eötvös Loránd Tudományegyetem</w:t>
      </w:r>
    </w:p>
    <w:p w:rsidR="00F4663A" w:rsidRPr="00F4663A" w:rsidRDefault="00F4663A" w:rsidP="00F4663A">
      <w:pPr>
        <w:tabs>
          <w:tab w:val="left" w:pos="854"/>
          <w:tab w:val="center" w:pos="4536"/>
          <w:tab w:val="center" w:pos="5102"/>
          <w:tab w:val="right" w:pos="9072"/>
        </w:tabs>
        <w:spacing w:line="276" w:lineRule="auto"/>
        <w:jc w:val="center"/>
        <w:rPr>
          <w:rFonts w:ascii="Footlight MT Light" w:hAnsi="Footlight MT Light" w:cs="AngsanaUPC"/>
          <w:b/>
          <w:sz w:val="48"/>
        </w:rPr>
      </w:pPr>
      <w:r w:rsidRPr="00F4663A">
        <w:rPr>
          <w:rFonts w:ascii="Footlight MT Light" w:hAnsi="Footlight MT Light" w:cs="AngsanaUPC"/>
          <w:b/>
          <w:sz w:val="48"/>
        </w:rPr>
        <w:t>Természettudományi Kar</w:t>
      </w:r>
    </w:p>
    <w:p w:rsidR="00F4663A" w:rsidRPr="00F4663A" w:rsidRDefault="00F4663A" w:rsidP="00F4663A">
      <w:pPr>
        <w:spacing w:line="276" w:lineRule="auto"/>
        <w:jc w:val="center"/>
        <w:rPr>
          <w:rFonts w:ascii="Footlight MT Light" w:hAnsi="Footlight MT Light" w:cs="AngsanaUPC"/>
          <w:b/>
          <w:sz w:val="40"/>
        </w:rPr>
      </w:pPr>
      <w:r w:rsidRPr="00F4663A">
        <w:rPr>
          <w:rFonts w:ascii="Footlight MT Light" w:hAnsi="Footlight MT Light" w:cs="AngsanaUPC"/>
          <w:b/>
          <w:sz w:val="40"/>
        </w:rPr>
        <w:t>Hallgatói Önkormányzat</w:t>
      </w:r>
    </w:p>
    <w:p w:rsidR="00F4663A" w:rsidRPr="00F4663A" w:rsidRDefault="00F4663A" w:rsidP="00F4663A">
      <w:pPr>
        <w:spacing w:line="276" w:lineRule="auto"/>
        <w:jc w:val="center"/>
        <w:rPr>
          <w:rFonts w:ascii="Footlight MT Light" w:hAnsi="Footlight MT Light" w:cs="AngsanaUPC"/>
          <w:sz w:val="26"/>
          <w:szCs w:val="26"/>
        </w:rPr>
      </w:pPr>
      <w:r w:rsidRPr="00F4663A">
        <w:rPr>
          <w:rFonts w:ascii="Footlight MT Light" w:hAnsi="Footlight MT Light" w:cs="AngsanaUPC"/>
          <w:sz w:val="26"/>
          <w:szCs w:val="26"/>
        </w:rPr>
        <w:t>1117 Budapest, Pázmány Péter Sétány 1/A.</w:t>
      </w:r>
    </w:p>
    <w:p w:rsidR="00F4663A" w:rsidRPr="00F4663A" w:rsidRDefault="00F4663A" w:rsidP="00F4663A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C73E6" w:rsidRPr="009C73E6" w:rsidRDefault="009C73E6" w:rsidP="009C73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Külföldi kirándulás lehetősége.</w:t>
      </w:r>
    </w:p>
    <w:p w:rsidR="009C73E6" w:rsidRPr="009C73E6" w:rsidRDefault="009C73E6" w:rsidP="009C73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„Szocreál” üdülő teljes hiánya.</w:t>
      </w:r>
    </w:p>
    <w:p w:rsidR="009C73E6" w:rsidRPr="009C73E6" w:rsidRDefault="009C73E6" w:rsidP="009C73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A saját infrastruktúrán túl saját forrásokkal is rendelkezik, hisz a kari hallgatói életet segítő szervezetek rengeteg kelléket halmoztak fel az elmúlt 33 évben ezen tábor megvalósításához.</w:t>
      </w:r>
    </w:p>
    <w:p w:rsidR="009C73E6" w:rsidRPr="009C73E6" w:rsidRDefault="009C73E6" w:rsidP="009C73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Ár-érték arányban a résztvevők oldaláról is a lehető legolcsóbb konstrukció, (a fentebb említett komponensek okán is), gyakorlatilag csupán az étkezést és az utazás költségét kell megfizetni.</w:t>
      </w:r>
    </w:p>
    <w:p w:rsidR="009C73E6" w:rsidRPr="009C73E6" w:rsidRDefault="009C73E6" w:rsidP="009C73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C73E6">
        <w:rPr>
          <w:rFonts w:ascii="Times New Roman" w:hAnsi="Times New Roman" w:cs="Times New Roman"/>
          <w:sz w:val="24"/>
          <w:szCs w:val="24"/>
        </w:rPr>
        <w:t>legrégebbi</w:t>
      </w:r>
      <w:proofErr w:type="spellEnd"/>
      <w:r w:rsidRPr="009C73E6">
        <w:rPr>
          <w:rFonts w:ascii="Times New Roman" w:hAnsi="Times New Roman" w:cs="Times New Roman"/>
          <w:sz w:val="24"/>
          <w:szCs w:val="24"/>
        </w:rPr>
        <w:t xml:space="preserve"> hagyományra visszatekintő ELTE-s tábor.</w:t>
      </w:r>
    </w:p>
    <w:p w:rsidR="009C73E6" w:rsidRPr="009C73E6" w:rsidRDefault="009C73E6" w:rsidP="009C73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 xml:space="preserve">Amennyiben valamely szakterület nagy hangsúlyt kíván fektetni a saját identitás kialakítására több szakos programokon keresztül, a szervezők teljesen nyitottak erre (bizonyítva: pl. </w:t>
      </w:r>
      <w:proofErr w:type="spellStart"/>
      <w:r w:rsidRPr="009C73E6">
        <w:rPr>
          <w:rFonts w:ascii="Times New Roman" w:hAnsi="Times New Roman" w:cs="Times New Roman"/>
          <w:sz w:val="24"/>
          <w:szCs w:val="24"/>
        </w:rPr>
        <w:t>bioszos</w:t>
      </w:r>
      <w:proofErr w:type="spellEnd"/>
      <w:r w:rsidRPr="009C73E6">
        <w:rPr>
          <w:rFonts w:ascii="Times New Roman" w:hAnsi="Times New Roman" w:cs="Times New Roman"/>
          <w:sz w:val="24"/>
          <w:szCs w:val="24"/>
        </w:rPr>
        <w:t xml:space="preserve"> avató).</w:t>
      </w:r>
    </w:p>
    <w:p w:rsidR="009C73E6" w:rsidRPr="009C73E6" w:rsidRDefault="009C73E6" w:rsidP="009C73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Kiváló lehetőség nemcsak szakos, hanem a kari identitás építésére is, és ennek hatása már a tavalyi tábor után is érzékelhető volt mind a gólyák, mind a mentorok és egyéb szervezők körében is.</w:t>
      </w:r>
    </w:p>
    <w:p w:rsidR="009C73E6" w:rsidRPr="009C73E6" w:rsidRDefault="003210CB" w:rsidP="009C73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 xml:space="preserve">Hosszabb időtartamú, mint a legtöbb </w:t>
      </w:r>
      <w:proofErr w:type="spellStart"/>
      <w:r w:rsidRPr="009C73E6">
        <w:rPr>
          <w:rFonts w:ascii="Times New Roman" w:hAnsi="Times New Roman" w:cs="Times New Roman"/>
          <w:sz w:val="24"/>
          <w:szCs w:val="24"/>
        </w:rPr>
        <w:t>gólyatábor</w:t>
      </w:r>
      <w:proofErr w:type="spellEnd"/>
      <w:r w:rsidRPr="009C73E6"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sz w:val="24"/>
          <w:szCs w:val="24"/>
        </w:rPr>
        <w:t>a résztvevők számára a hossza tetszés szerint választható</w:t>
      </w:r>
      <w:r w:rsidRPr="009C73E6">
        <w:rPr>
          <w:rFonts w:ascii="Times New Roman" w:hAnsi="Times New Roman" w:cs="Times New Roman"/>
          <w:sz w:val="24"/>
          <w:szCs w:val="24"/>
        </w:rPr>
        <w:t>.</w:t>
      </w:r>
    </w:p>
    <w:p w:rsidR="009C73E6" w:rsidRPr="009C73E6" w:rsidRDefault="009C73E6" w:rsidP="009C73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Ritka lehetőség: egy hét teljes elszakadás a civilizációtól – ezt leginkább helyben lehet átérezni.</w:t>
      </w:r>
    </w:p>
    <w:p w:rsidR="009C73E6" w:rsidRPr="009C73E6" w:rsidRDefault="009C73E6" w:rsidP="009C73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Legmagasabb részvételi arány: környezettan szak (67%).</w:t>
      </w:r>
    </w:p>
    <w:p w:rsidR="009C73E6" w:rsidRPr="009C73E6" w:rsidRDefault="009C73E6" w:rsidP="009C73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Pozitív visszajelzés az oktatók részéről.</w:t>
      </w:r>
    </w:p>
    <w:p w:rsidR="00100D02" w:rsidRDefault="009C73E6" w:rsidP="009C73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294"/>
        <w:rPr>
          <w:rFonts w:ascii="Symbol" w:hAnsi="Symbol" w:cs="Symbol"/>
          <w:sz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„Mindent lehet, de semmi sem kötelező” elv.</w:t>
      </w:r>
      <w:r w:rsidR="00100D02" w:rsidRPr="009C73E6">
        <w:rPr>
          <w:rFonts w:ascii="Times New Roman" w:hAnsi="Times New Roman" w:cs="Times New Roman"/>
          <w:sz w:val="24"/>
        </w:rPr>
        <w:br/>
      </w:r>
    </w:p>
    <w:p w:rsidR="00F4663A" w:rsidRPr="009C73E6" w:rsidRDefault="00F4663A" w:rsidP="00F4663A">
      <w:pPr>
        <w:pStyle w:val="Listaszerbekezds"/>
        <w:autoSpaceDE w:val="0"/>
        <w:autoSpaceDN w:val="0"/>
        <w:adjustRightInd w:val="0"/>
        <w:spacing w:line="276" w:lineRule="auto"/>
        <w:rPr>
          <w:rFonts w:ascii="Symbol" w:hAnsi="Symbol" w:cs="Symbol"/>
          <w:sz w:val="24"/>
        </w:rPr>
      </w:pPr>
    </w:p>
    <w:p w:rsidR="00983103" w:rsidRPr="00D0698A" w:rsidRDefault="009C7D9C" w:rsidP="00983103">
      <w:pPr>
        <w:pStyle w:val="Listaszerbekezds"/>
        <w:ind w:left="360"/>
        <w:jc w:val="center"/>
        <w:rPr>
          <w:rFonts w:ascii="Footlight MT Light" w:hAnsi="Footlight MT Light" w:cs="Times New Roman"/>
          <w:b/>
          <w:sz w:val="28"/>
          <w:szCs w:val="28"/>
        </w:rPr>
      </w:pPr>
      <w:r w:rsidRPr="00D0698A">
        <w:rPr>
          <w:rFonts w:ascii="Footlight MT Light" w:hAnsi="Footlight MT Light" w:cs="Times New Roman"/>
          <w:b/>
          <w:sz w:val="28"/>
          <w:szCs w:val="28"/>
        </w:rPr>
        <w:t>III. HÁTRÁNYOK</w:t>
      </w:r>
    </w:p>
    <w:p w:rsidR="00983103" w:rsidRPr="00983103" w:rsidRDefault="00983103" w:rsidP="00983103">
      <w:pPr>
        <w:pStyle w:val="Listaszerbekezds"/>
        <w:ind w:left="360"/>
        <w:jc w:val="center"/>
        <w:rPr>
          <w:rFonts w:ascii="Footlight MT Light" w:hAnsi="Footlight MT Light" w:cs="Times New Roman"/>
          <w:b/>
          <w:sz w:val="28"/>
        </w:rPr>
      </w:pPr>
    </w:p>
    <w:p w:rsidR="007B5AFE" w:rsidRPr="009C73E6" w:rsidRDefault="007B5AFE" w:rsidP="009C73E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Nagy napi hőingás (nappali forróság, éjjeli hideg).</w:t>
      </w:r>
    </w:p>
    <w:p w:rsidR="007B5AFE" w:rsidRPr="009C73E6" w:rsidRDefault="007B5AFE" w:rsidP="009C73E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Hanyatló részvételi arány (igaz valamennyi rendezvényre és gólyatáborra).</w:t>
      </w:r>
    </w:p>
    <w:p w:rsidR="007B5AFE" w:rsidRPr="009C73E6" w:rsidRDefault="007B5AFE" w:rsidP="009C73E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Túrázásban-sátrazásban tapasztalatlan gólyáknak riasztó lehet a gondolat.</w:t>
      </w:r>
    </w:p>
    <w:p w:rsidR="007B5AFE" w:rsidRPr="009C73E6" w:rsidRDefault="007B5AFE" w:rsidP="009C73E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Budapesttől való távolság, hosszú le-és hazautazás</w:t>
      </w:r>
      <w:r w:rsidR="00D052DD" w:rsidRPr="009C73E6">
        <w:rPr>
          <w:rFonts w:ascii="Times New Roman" w:hAnsi="Times New Roman" w:cs="Times New Roman"/>
          <w:sz w:val="24"/>
          <w:szCs w:val="24"/>
        </w:rPr>
        <w:t>; hosszú gólyatábor</w:t>
      </w:r>
      <w:r w:rsidRPr="009C73E6">
        <w:rPr>
          <w:rFonts w:ascii="Times New Roman" w:hAnsi="Times New Roman" w:cs="Times New Roman"/>
          <w:sz w:val="24"/>
          <w:szCs w:val="24"/>
        </w:rPr>
        <w:t>.</w:t>
      </w:r>
    </w:p>
    <w:p w:rsidR="00983103" w:rsidRPr="009C73E6" w:rsidRDefault="00983103" w:rsidP="009C73E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A természet szeszélyeinek való kitettség (p</w:t>
      </w:r>
      <w:r w:rsidR="00D13B38">
        <w:rPr>
          <w:rFonts w:ascii="Times New Roman" w:hAnsi="Times New Roman" w:cs="Times New Roman"/>
          <w:sz w:val="24"/>
          <w:szCs w:val="24"/>
        </w:rPr>
        <w:t>éldául</w:t>
      </w:r>
      <w:r w:rsidRPr="009C73E6">
        <w:rPr>
          <w:rFonts w:ascii="Times New Roman" w:hAnsi="Times New Roman" w:cs="Times New Roman"/>
          <w:sz w:val="24"/>
          <w:szCs w:val="24"/>
        </w:rPr>
        <w:t xml:space="preserve"> darazsak, esőzések).</w:t>
      </w:r>
    </w:p>
    <w:p w:rsidR="00983103" w:rsidRPr="00D0698A" w:rsidRDefault="00983103" w:rsidP="009C73E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09" w:hanging="283"/>
        <w:rPr>
          <w:rFonts w:ascii="Times New Roman" w:hAnsi="Times New Roman" w:cs="Times New Roman"/>
          <w:sz w:val="23"/>
          <w:szCs w:val="23"/>
        </w:rPr>
      </w:pPr>
      <w:r w:rsidRPr="009C73E6">
        <w:rPr>
          <w:rFonts w:ascii="Times New Roman" w:hAnsi="Times New Roman" w:cs="Times New Roman"/>
          <w:sz w:val="24"/>
          <w:szCs w:val="24"/>
        </w:rPr>
        <w:t>Egyéni tábori infrastruktúra.</w:t>
      </w:r>
    </w:p>
    <w:p w:rsidR="00983103" w:rsidRPr="00983103" w:rsidRDefault="00983103" w:rsidP="00983103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:rsidR="00F4663A" w:rsidRDefault="00F4663A" w:rsidP="00983103">
      <w:pPr>
        <w:pStyle w:val="Listaszerbekezds"/>
        <w:spacing w:before="240"/>
        <w:ind w:left="360"/>
        <w:jc w:val="center"/>
        <w:rPr>
          <w:rFonts w:ascii="Footlight MT Light" w:hAnsi="Footlight MT Light" w:cs="Times New Roman"/>
          <w:b/>
          <w:sz w:val="26"/>
          <w:szCs w:val="26"/>
        </w:rPr>
      </w:pPr>
    </w:p>
    <w:p w:rsidR="00D009FF" w:rsidRPr="00D0698A" w:rsidRDefault="007B5AFE" w:rsidP="00983103">
      <w:pPr>
        <w:pStyle w:val="Listaszerbekezds"/>
        <w:spacing w:before="240"/>
        <w:ind w:left="360"/>
        <w:jc w:val="center"/>
        <w:rPr>
          <w:rFonts w:ascii="Footlight MT Light" w:hAnsi="Footlight MT Light" w:cs="Times New Roman"/>
          <w:b/>
          <w:sz w:val="26"/>
          <w:szCs w:val="26"/>
        </w:rPr>
      </w:pPr>
      <w:r w:rsidRPr="00D0698A">
        <w:rPr>
          <w:rFonts w:ascii="Footlight MT Light" w:hAnsi="Footlight MT Light" w:cs="Times New Roman"/>
          <w:b/>
          <w:sz w:val="26"/>
          <w:szCs w:val="26"/>
        </w:rPr>
        <w:t>I</w:t>
      </w:r>
      <w:r w:rsidRPr="00D0698A">
        <w:rPr>
          <w:rFonts w:ascii="Footlight MT Light" w:hAnsi="Footlight MT Light" w:cs="Times New Roman"/>
          <w:b/>
          <w:sz w:val="28"/>
          <w:szCs w:val="28"/>
        </w:rPr>
        <w:t xml:space="preserve">V. </w:t>
      </w:r>
      <w:r w:rsidR="00100D02" w:rsidRPr="00D0698A">
        <w:rPr>
          <w:rFonts w:ascii="Footlight MT Light" w:hAnsi="Footlight MT Light" w:cs="Times New Roman"/>
          <w:b/>
          <w:sz w:val="28"/>
          <w:szCs w:val="28"/>
        </w:rPr>
        <w:t>JAVASLATOK</w:t>
      </w:r>
    </w:p>
    <w:p w:rsidR="00983103" w:rsidRPr="00983103" w:rsidRDefault="00983103" w:rsidP="00983103">
      <w:pPr>
        <w:pStyle w:val="Listaszerbekezds"/>
        <w:spacing w:before="240"/>
        <w:ind w:left="360"/>
        <w:jc w:val="center"/>
        <w:rPr>
          <w:rFonts w:ascii="Footlight MT Light" w:hAnsi="Footlight MT Light" w:cs="Times New Roman"/>
          <w:b/>
          <w:sz w:val="28"/>
        </w:rPr>
      </w:pPr>
    </w:p>
    <w:p w:rsidR="009C73E6" w:rsidRPr="009C73E6" w:rsidRDefault="009C73E6" w:rsidP="009C73E6">
      <w:pPr>
        <w:pStyle w:val="Listaszerbekezds"/>
        <w:numPr>
          <w:ilvl w:val="0"/>
          <w:numId w:val="9"/>
        </w:numPr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Kommunikációs stratégia és gyakorlat javítása.</w:t>
      </w:r>
    </w:p>
    <w:p w:rsidR="009C73E6" w:rsidRPr="009C73E6" w:rsidRDefault="009C73E6" w:rsidP="009C73E6">
      <w:pPr>
        <w:pStyle w:val="Listaszerbekezds"/>
        <w:numPr>
          <w:ilvl w:val="0"/>
          <w:numId w:val="9"/>
        </w:numPr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A tábor belső terét tetszés szerint alakíthatjuk (p</w:t>
      </w:r>
      <w:r w:rsidR="00D13B38">
        <w:rPr>
          <w:rFonts w:ascii="Times New Roman" w:hAnsi="Times New Roman" w:cs="Times New Roman"/>
          <w:sz w:val="24"/>
          <w:szCs w:val="24"/>
        </w:rPr>
        <w:t>éldául</w:t>
      </w:r>
      <w:r w:rsidRPr="009C73E6">
        <w:rPr>
          <w:rFonts w:ascii="Times New Roman" w:hAnsi="Times New Roman" w:cs="Times New Roman"/>
          <w:sz w:val="24"/>
          <w:szCs w:val="24"/>
        </w:rPr>
        <w:t xml:space="preserve"> több árnyékos hely kialakítása).</w:t>
      </w:r>
    </w:p>
    <w:p w:rsidR="009C73E6" w:rsidRPr="009C73E6" w:rsidRDefault="009C73E6" w:rsidP="009C73E6">
      <w:pPr>
        <w:pStyle w:val="Listaszerbekezds"/>
        <w:numPr>
          <w:ilvl w:val="0"/>
          <w:numId w:val="9"/>
        </w:numPr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Valamilyen megoldást kell találnunk a darázsinvázióra.</w:t>
      </w:r>
    </w:p>
    <w:p w:rsidR="009C73E6" w:rsidRPr="009C73E6" w:rsidRDefault="009C73E6" w:rsidP="009C73E6">
      <w:pPr>
        <w:pStyle w:val="Listaszerbekezds"/>
        <w:numPr>
          <w:ilvl w:val="0"/>
          <w:numId w:val="9"/>
        </w:numPr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Feladatok pontos kiszervezése az infrastruktúra működtetése érdekében (p</w:t>
      </w:r>
      <w:r w:rsidR="00D13B38">
        <w:rPr>
          <w:rFonts w:ascii="Times New Roman" w:hAnsi="Times New Roman" w:cs="Times New Roman"/>
          <w:sz w:val="24"/>
          <w:szCs w:val="24"/>
        </w:rPr>
        <w:t>éldául</w:t>
      </w:r>
      <w:r w:rsidRPr="009C73E6">
        <w:rPr>
          <w:rFonts w:ascii="Times New Roman" w:hAnsi="Times New Roman" w:cs="Times New Roman"/>
          <w:sz w:val="24"/>
          <w:szCs w:val="24"/>
        </w:rPr>
        <w:t xml:space="preserve"> szemétgyűjtés).</w:t>
      </w:r>
    </w:p>
    <w:p w:rsidR="009C73E6" w:rsidRPr="009C73E6" w:rsidRDefault="009C73E6" w:rsidP="009C73E6">
      <w:pPr>
        <w:pStyle w:val="Listaszerbekezds"/>
        <w:numPr>
          <w:ilvl w:val="0"/>
          <w:numId w:val="9"/>
        </w:numPr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A helyi adottságokkal minden mentornak és csapatvezetőnek tisztában kell lennie!</w:t>
      </w:r>
    </w:p>
    <w:p w:rsidR="001B6388" w:rsidRPr="001B6388" w:rsidRDefault="001B6388" w:rsidP="001B6388">
      <w:pPr>
        <w:tabs>
          <w:tab w:val="left" w:pos="930"/>
          <w:tab w:val="center" w:pos="4536"/>
        </w:tabs>
        <w:spacing w:line="276" w:lineRule="auto"/>
        <w:ind w:left="360" w:hanging="360"/>
        <w:jc w:val="center"/>
        <w:rPr>
          <w:rFonts w:ascii="Footlight MT Light" w:hAnsi="Footlight MT Light" w:cs="AngsanaUPC"/>
          <w:b/>
          <w:sz w:val="44"/>
        </w:rPr>
      </w:pPr>
      <w:r w:rsidRPr="00612A39">
        <w:rPr>
          <w:noProof/>
          <w:sz w:val="40"/>
          <w:lang w:eastAsia="hu-HU"/>
        </w:rPr>
        <w:lastRenderedPageBreak/>
        <w:drawing>
          <wp:anchor distT="0" distB="0" distL="114300" distR="114300" simplePos="0" relativeHeight="251672576" behindDoc="1" locked="0" layoutInCell="1" allowOverlap="1" wp14:anchorId="24D79B23" wp14:editId="7E674861">
            <wp:simplePos x="0" y="0"/>
            <wp:positionH relativeFrom="margin">
              <wp:align>right</wp:align>
            </wp:positionH>
            <wp:positionV relativeFrom="paragraph">
              <wp:posOffset>-7931</wp:posOffset>
            </wp:positionV>
            <wp:extent cx="1152000" cy="1065095"/>
            <wp:effectExtent l="0" t="0" r="0" b="190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tettk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06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A39">
        <w:rPr>
          <w:noProof/>
          <w:sz w:val="40"/>
          <w:lang w:eastAsia="hu-HU"/>
        </w:rPr>
        <w:drawing>
          <wp:anchor distT="0" distB="0" distL="114300" distR="114300" simplePos="0" relativeHeight="251671552" behindDoc="1" locked="0" layoutInCell="1" allowOverlap="1" wp14:anchorId="5B50BA0E" wp14:editId="42FE9F0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60000" cy="12600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te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388">
        <w:rPr>
          <w:rFonts w:ascii="Footlight MT Light" w:hAnsi="Footlight MT Light" w:cs="AngsanaUPC"/>
          <w:b/>
          <w:sz w:val="44"/>
        </w:rPr>
        <w:t>Eötvös Loránd Tudományegyetem</w:t>
      </w:r>
    </w:p>
    <w:p w:rsidR="001B6388" w:rsidRPr="001B6388" w:rsidRDefault="001B6388" w:rsidP="001B6388">
      <w:pPr>
        <w:tabs>
          <w:tab w:val="left" w:pos="854"/>
          <w:tab w:val="center" w:pos="4536"/>
          <w:tab w:val="center" w:pos="5102"/>
          <w:tab w:val="right" w:pos="9072"/>
        </w:tabs>
        <w:spacing w:line="276" w:lineRule="auto"/>
        <w:ind w:left="360" w:hanging="360"/>
        <w:jc w:val="center"/>
        <w:rPr>
          <w:rFonts w:ascii="Footlight MT Light" w:hAnsi="Footlight MT Light" w:cs="AngsanaUPC"/>
          <w:b/>
          <w:sz w:val="48"/>
        </w:rPr>
      </w:pPr>
      <w:r w:rsidRPr="001B6388">
        <w:rPr>
          <w:rFonts w:ascii="Footlight MT Light" w:hAnsi="Footlight MT Light" w:cs="AngsanaUPC"/>
          <w:b/>
          <w:sz w:val="48"/>
        </w:rPr>
        <w:t>Természettudományi Kar</w:t>
      </w:r>
    </w:p>
    <w:p w:rsidR="001B6388" w:rsidRPr="001B6388" w:rsidRDefault="001B6388" w:rsidP="001B6388">
      <w:pPr>
        <w:spacing w:line="276" w:lineRule="auto"/>
        <w:ind w:left="360" w:hanging="360"/>
        <w:jc w:val="center"/>
        <w:rPr>
          <w:rFonts w:ascii="Footlight MT Light" w:hAnsi="Footlight MT Light" w:cs="AngsanaUPC"/>
          <w:b/>
          <w:sz w:val="40"/>
        </w:rPr>
      </w:pPr>
      <w:r w:rsidRPr="001B6388">
        <w:rPr>
          <w:rFonts w:ascii="Footlight MT Light" w:hAnsi="Footlight MT Light" w:cs="AngsanaUPC"/>
          <w:b/>
          <w:sz w:val="40"/>
        </w:rPr>
        <w:t>Hallgatói Önkormányzat</w:t>
      </w:r>
    </w:p>
    <w:p w:rsidR="001B6388" w:rsidRPr="001B6388" w:rsidRDefault="001B6388" w:rsidP="001B6388">
      <w:pPr>
        <w:spacing w:line="276" w:lineRule="auto"/>
        <w:ind w:left="360" w:hanging="360"/>
        <w:jc w:val="center"/>
        <w:rPr>
          <w:rFonts w:ascii="Footlight MT Light" w:hAnsi="Footlight MT Light" w:cs="AngsanaUPC"/>
          <w:sz w:val="26"/>
          <w:szCs w:val="26"/>
        </w:rPr>
      </w:pPr>
      <w:r w:rsidRPr="001B6388">
        <w:rPr>
          <w:rFonts w:ascii="Footlight MT Light" w:hAnsi="Footlight MT Light" w:cs="AngsanaUPC"/>
          <w:sz w:val="26"/>
          <w:szCs w:val="26"/>
        </w:rPr>
        <w:t>1117 Budapest, Pázmány Péter Sétány 1/A.</w:t>
      </w:r>
    </w:p>
    <w:p w:rsidR="001B6388" w:rsidRPr="001B6388" w:rsidRDefault="001B6388" w:rsidP="001B6388">
      <w:p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663A" w:rsidRPr="001B6388" w:rsidRDefault="009C73E6" w:rsidP="001B6388">
      <w:pPr>
        <w:pStyle w:val="Listaszerbekezds"/>
        <w:numPr>
          <w:ilvl w:val="0"/>
          <w:numId w:val="9"/>
        </w:numPr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Az eddigi ételosztási koncepciót újra kell gondolni és igény szerint változtatni.</w:t>
      </w:r>
    </w:p>
    <w:p w:rsidR="009C73E6" w:rsidRPr="009C73E6" w:rsidRDefault="009C73E6" w:rsidP="009C73E6">
      <w:pPr>
        <w:pStyle w:val="Listaszerbekezds"/>
        <w:numPr>
          <w:ilvl w:val="0"/>
          <w:numId w:val="9"/>
        </w:numPr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Az esti bulikra mindenképpen kell fellépő(</w:t>
      </w:r>
      <w:proofErr w:type="spellStart"/>
      <w:r w:rsidRPr="009C73E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C73E6">
        <w:rPr>
          <w:rFonts w:ascii="Times New Roman" w:hAnsi="Times New Roman" w:cs="Times New Roman"/>
          <w:sz w:val="24"/>
          <w:szCs w:val="24"/>
        </w:rPr>
        <w:t>)t hívni.</w:t>
      </w:r>
    </w:p>
    <w:p w:rsidR="00F4663A" w:rsidRPr="00F4663A" w:rsidRDefault="009C73E6" w:rsidP="00F4663A">
      <w:pPr>
        <w:pStyle w:val="Listaszerbekezds"/>
        <w:numPr>
          <w:ilvl w:val="0"/>
          <w:numId w:val="9"/>
        </w:numPr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9C73E6">
        <w:rPr>
          <w:rFonts w:ascii="Times New Roman" w:hAnsi="Times New Roman" w:cs="Times New Roman"/>
          <w:sz w:val="24"/>
          <w:szCs w:val="24"/>
        </w:rPr>
        <w:t>Chillsátor</w:t>
      </w:r>
      <w:proofErr w:type="spellEnd"/>
      <w:r w:rsidRPr="009C73E6">
        <w:rPr>
          <w:rFonts w:ascii="Times New Roman" w:hAnsi="Times New Roman" w:cs="Times New Roman"/>
          <w:sz w:val="24"/>
          <w:szCs w:val="24"/>
        </w:rPr>
        <w:t xml:space="preserve"> továbbfejlesztése: szolgáltatások spektrumának növelése.</w:t>
      </w:r>
    </w:p>
    <w:p w:rsidR="009C73E6" w:rsidRPr="009C73E6" w:rsidRDefault="009C73E6" w:rsidP="009C73E6">
      <w:pPr>
        <w:pStyle w:val="Listaszerbekezds"/>
        <w:numPr>
          <w:ilvl w:val="0"/>
          <w:numId w:val="9"/>
        </w:numPr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Az ajánlattételi felhívásnak képviselnie kell az összes szakterület érdekét (például a jelentkezők személyes adatait a TTK HÖK számára fenntartott szerveren kell tárolni, amihez kizárólag az elnök fér hozzá).</w:t>
      </w:r>
    </w:p>
    <w:p w:rsidR="009C73E6" w:rsidRPr="009C73E6" w:rsidRDefault="009C73E6" w:rsidP="009C73E6">
      <w:pPr>
        <w:pStyle w:val="Listaszerbekezds"/>
        <w:numPr>
          <w:ilvl w:val="0"/>
          <w:numId w:val="9"/>
        </w:numPr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Higiéniai szolgáltatások minőségének növelése (p</w:t>
      </w:r>
      <w:r w:rsidR="00D13B38">
        <w:rPr>
          <w:rFonts w:ascii="Times New Roman" w:hAnsi="Times New Roman" w:cs="Times New Roman"/>
          <w:sz w:val="24"/>
          <w:szCs w:val="24"/>
        </w:rPr>
        <w:t>éldául</w:t>
      </w:r>
      <w:r w:rsidRPr="009C73E6">
        <w:rPr>
          <w:rFonts w:ascii="Times New Roman" w:hAnsi="Times New Roman" w:cs="Times New Roman"/>
          <w:sz w:val="24"/>
          <w:szCs w:val="24"/>
        </w:rPr>
        <w:t xml:space="preserve"> kézmosóval ellátott </w:t>
      </w:r>
      <w:proofErr w:type="spellStart"/>
      <w:r w:rsidRPr="009C73E6">
        <w:rPr>
          <w:rFonts w:ascii="Times New Roman" w:hAnsi="Times New Roman" w:cs="Times New Roman"/>
          <w:sz w:val="24"/>
          <w:szCs w:val="24"/>
        </w:rPr>
        <w:t>toi-toi</w:t>
      </w:r>
      <w:proofErr w:type="spellEnd"/>
      <w:r w:rsidRPr="009C73E6">
        <w:rPr>
          <w:rFonts w:ascii="Times New Roman" w:hAnsi="Times New Roman" w:cs="Times New Roman"/>
          <w:sz w:val="24"/>
          <w:szCs w:val="24"/>
        </w:rPr>
        <w:t xml:space="preserve"> bérlése).</w:t>
      </w:r>
    </w:p>
    <w:p w:rsidR="009C73E6" w:rsidRPr="009C73E6" w:rsidRDefault="009C73E6" w:rsidP="009C73E6">
      <w:pPr>
        <w:pStyle w:val="Listaszerbekezds"/>
        <w:numPr>
          <w:ilvl w:val="0"/>
          <w:numId w:val="9"/>
        </w:numPr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Csapatok felállása a 2018-as táborával megegyezzen (csap</w:t>
      </w:r>
      <w:r w:rsidR="003376EB">
        <w:rPr>
          <w:rFonts w:ascii="Times New Roman" w:hAnsi="Times New Roman" w:cs="Times New Roman"/>
          <w:sz w:val="24"/>
          <w:szCs w:val="24"/>
        </w:rPr>
        <w:t>at</w:t>
      </w:r>
      <w:r w:rsidRPr="009C73E6">
        <w:rPr>
          <w:rFonts w:ascii="Times New Roman" w:hAnsi="Times New Roman" w:cs="Times New Roman"/>
          <w:sz w:val="24"/>
          <w:szCs w:val="24"/>
        </w:rPr>
        <w:t>veze</w:t>
      </w:r>
      <w:r w:rsidR="003376EB">
        <w:rPr>
          <w:rFonts w:ascii="Times New Roman" w:hAnsi="Times New Roman" w:cs="Times New Roman"/>
          <w:sz w:val="24"/>
          <w:szCs w:val="24"/>
        </w:rPr>
        <w:t>tő</w:t>
      </w:r>
      <w:r w:rsidRPr="009C73E6">
        <w:rPr>
          <w:rFonts w:ascii="Times New Roman" w:hAnsi="Times New Roman" w:cs="Times New Roman"/>
          <w:sz w:val="24"/>
          <w:szCs w:val="24"/>
        </w:rPr>
        <w:t>k, mentorok, kevert szakos gólyák kivéve a tanárisok, akik teljes csapatokat alkotnának).</w:t>
      </w:r>
    </w:p>
    <w:p w:rsidR="009C73E6" w:rsidRPr="009C73E6" w:rsidRDefault="009C73E6" w:rsidP="009C73E6">
      <w:pPr>
        <w:pStyle w:val="Listaszerbekezds"/>
        <w:numPr>
          <w:ilvl w:val="0"/>
          <w:numId w:val="9"/>
        </w:numPr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 xml:space="preserve">Javasoljuk egy bizottság felállítását, ami csak a </w:t>
      </w:r>
      <w:proofErr w:type="spellStart"/>
      <w:r w:rsidRPr="009C73E6">
        <w:rPr>
          <w:rFonts w:ascii="Times New Roman" w:hAnsi="Times New Roman" w:cs="Times New Roman"/>
          <w:sz w:val="24"/>
          <w:szCs w:val="24"/>
        </w:rPr>
        <w:t>gólyatábor</w:t>
      </w:r>
      <w:proofErr w:type="spellEnd"/>
      <w:r w:rsidRPr="009C73E6">
        <w:rPr>
          <w:rFonts w:ascii="Times New Roman" w:hAnsi="Times New Roman" w:cs="Times New Roman"/>
          <w:sz w:val="24"/>
          <w:szCs w:val="24"/>
        </w:rPr>
        <w:t xml:space="preserve"> szervezési munkálataival foglalkozik, és ez a bizottság hozzon meg minden döntést (tábor </w:t>
      </w:r>
      <w:r w:rsidR="003210CB">
        <w:rPr>
          <w:rFonts w:ascii="Times New Roman" w:hAnsi="Times New Roman" w:cs="Times New Roman"/>
          <w:sz w:val="24"/>
          <w:szCs w:val="24"/>
        </w:rPr>
        <w:t>időpontja,</w:t>
      </w:r>
      <w:r w:rsidRPr="009C73E6">
        <w:rPr>
          <w:rFonts w:ascii="Times New Roman" w:hAnsi="Times New Roman" w:cs="Times New Roman"/>
          <w:sz w:val="24"/>
          <w:szCs w:val="24"/>
        </w:rPr>
        <w:t xml:space="preserve"> részvételi díj mértéke, szervezők kinevezése, stb.), tagjai a Küldöttgyűlés által megválasztott szakterületi delegáltak (1 de akár 2 fő/</w:t>
      </w:r>
      <w:proofErr w:type="spellStart"/>
      <w:r w:rsidRPr="009C73E6">
        <w:rPr>
          <w:rFonts w:ascii="Times New Roman" w:hAnsi="Times New Roman" w:cs="Times New Roman"/>
          <w:sz w:val="24"/>
          <w:szCs w:val="24"/>
        </w:rPr>
        <w:t>szakter</w:t>
      </w:r>
      <w:proofErr w:type="spellEnd"/>
      <w:r w:rsidRPr="009C73E6">
        <w:rPr>
          <w:rFonts w:ascii="Times New Roman" w:hAnsi="Times New Roman" w:cs="Times New Roman"/>
          <w:sz w:val="24"/>
          <w:szCs w:val="24"/>
        </w:rPr>
        <w:t>.), illetve az elnök. Ez a bizottság kizárólag a Küldöttgyűlésnek felelne.</w:t>
      </w:r>
    </w:p>
    <w:p w:rsidR="009C73E6" w:rsidRDefault="00F4663A" w:rsidP="009C73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4726940</wp:posOffset>
                </wp:positionH>
                <wp:positionV relativeFrom="paragraph">
                  <wp:posOffset>428625</wp:posOffset>
                </wp:positionV>
                <wp:extent cx="1560830" cy="499745"/>
                <wp:effectExtent l="0" t="0" r="127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103" w:rsidRPr="00F90725" w:rsidRDefault="00983103" w:rsidP="00983103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Budapest,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 xml:space="preserve">2018. </w:t>
                            </w:r>
                            <w:r w:rsidR="0091562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december 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983103" w:rsidRDefault="00983103" w:rsidP="00983103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72.2pt;margin-top:33.75pt;width:122.9pt;height:39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" stroked="f">
                <v:textbox>
                  <w:txbxContent>
                    <w:p w:rsidR="00983103" w:rsidRPr="00F90725" w:rsidRDefault="00983103" w:rsidP="00983103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Budapest,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 xml:space="preserve">2018. </w:t>
                      </w:r>
                      <w:r w:rsidR="0091562C">
                        <w:rPr>
                          <w:rFonts w:ascii="Times New Roman" w:hAnsi="Times New Roman" w:cs="Times New Roman"/>
                          <w:sz w:val="24"/>
                        </w:rPr>
                        <w:t>december 18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983103" w:rsidRDefault="00983103" w:rsidP="00983103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73E6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4384" behindDoc="0" locked="0" layoutInCell="1" allowOverlap="1" wp14:anchorId="33B964C9" wp14:editId="6A5C339B">
            <wp:simplePos x="0" y="0"/>
            <wp:positionH relativeFrom="margin">
              <wp:posOffset>1020445</wp:posOffset>
            </wp:positionH>
            <wp:positionV relativeFrom="paragraph">
              <wp:posOffset>383540</wp:posOffset>
            </wp:positionV>
            <wp:extent cx="1828800" cy="539750"/>
            <wp:effectExtent l="0" t="0" r="0" b="0"/>
            <wp:wrapTopAndBottom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ök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3E6" w:rsidRDefault="009C73E6" w:rsidP="009C73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73E6" w:rsidRDefault="009C73E6" w:rsidP="009C73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73E6" w:rsidRDefault="009C73E6" w:rsidP="009C73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73E6" w:rsidRPr="009C73E6" w:rsidRDefault="009C73E6" w:rsidP="009C73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C73E6" w:rsidRPr="009C73E6" w:rsidSect="009C73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7D4" w:rsidRDefault="00B217D4" w:rsidP="009C73E6">
      <w:pPr>
        <w:spacing w:after="0" w:line="240" w:lineRule="auto"/>
      </w:pPr>
      <w:r>
        <w:separator/>
      </w:r>
    </w:p>
  </w:endnote>
  <w:endnote w:type="continuationSeparator" w:id="0">
    <w:p w:rsidR="00B217D4" w:rsidRDefault="00B217D4" w:rsidP="009C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7D4" w:rsidRDefault="00B217D4" w:rsidP="009C73E6">
      <w:pPr>
        <w:spacing w:after="0" w:line="240" w:lineRule="auto"/>
      </w:pPr>
      <w:r>
        <w:separator/>
      </w:r>
    </w:p>
  </w:footnote>
  <w:footnote w:type="continuationSeparator" w:id="0">
    <w:p w:rsidR="00B217D4" w:rsidRDefault="00B217D4" w:rsidP="009C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6DAD"/>
    <w:multiLevelType w:val="hybridMultilevel"/>
    <w:tmpl w:val="B442BF5A"/>
    <w:lvl w:ilvl="0" w:tplc="F8AC757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6427"/>
    <w:multiLevelType w:val="hybridMultilevel"/>
    <w:tmpl w:val="043E2C16"/>
    <w:lvl w:ilvl="0" w:tplc="D8E8B7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20541"/>
    <w:multiLevelType w:val="hybridMultilevel"/>
    <w:tmpl w:val="7DDC0778"/>
    <w:lvl w:ilvl="0" w:tplc="D8E8B7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A791D"/>
    <w:multiLevelType w:val="hybridMultilevel"/>
    <w:tmpl w:val="444EEB0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B0AD1"/>
    <w:multiLevelType w:val="hybridMultilevel"/>
    <w:tmpl w:val="68481EE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E055C"/>
    <w:multiLevelType w:val="hybridMultilevel"/>
    <w:tmpl w:val="8EC6B9E6"/>
    <w:lvl w:ilvl="0" w:tplc="F8AC757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C7DAA"/>
    <w:multiLevelType w:val="hybridMultilevel"/>
    <w:tmpl w:val="8E12EB3E"/>
    <w:lvl w:ilvl="0" w:tplc="F8AC7570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E606C"/>
    <w:multiLevelType w:val="hybridMultilevel"/>
    <w:tmpl w:val="9CF83D7C"/>
    <w:lvl w:ilvl="0" w:tplc="9DEC06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84E21"/>
    <w:multiLevelType w:val="hybridMultilevel"/>
    <w:tmpl w:val="20F0F610"/>
    <w:lvl w:ilvl="0" w:tplc="D8E8B7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56"/>
    <w:rsid w:val="000E17C6"/>
    <w:rsid w:val="000F7991"/>
    <w:rsid w:val="00100D02"/>
    <w:rsid w:val="001117A6"/>
    <w:rsid w:val="00113404"/>
    <w:rsid w:val="001B6388"/>
    <w:rsid w:val="00273180"/>
    <w:rsid w:val="002B51CF"/>
    <w:rsid w:val="002E33C0"/>
    <w:rsid w:val="003210CB"/>
    <w:rsid w:val="003376EB"/>
    <w:rsid w:val="00342000"/>
    <w:rsid w:val="00363456"/>
    <w:rsid w:val="003643F9"/>
    <w:rsid w:val="00381173"/>
    <w:rsid w:val="003822B7"/>
    <w:rsid w:val="004A1194"/>
    <w:rsid w:val="004C4C71"/>
    <w:rsid w:val="004E05FE"/>
    <w:rsid w:val="00580273"/>
    <w:rsid w:val="00580471"/>
    <w:rsid w:val="005B3B67"/>
    <w:rsid w:val="00600A03"/>
    <w:rsid w:val="00612A39"/>
    <w:rsid w:val="0066667A"/>
    <w:rsid w:val="007B5AFE"/>
    <w:rsid w:val="007D5045"/>
    <w:rsid w:val="008E7E35"/>
    <w:rsid w:val="0091562C"/>
    <w:rsid w:val="00983103"/>
    <w:rsid w:val="009C73E6"/>
    <w:rsid w:val="009C7D9C"/>
    <w:rsid w:val="009E025A"/>
    <w:rsid w:val="009E19C6"/>
    <w:rsid w:val="00B217D4"/>
    <w:rsid w:val="00B4677D"/>
    <w:rsid w:val="00CD28DB"/>
    <w:rsid w:val="00CF1342"/>
    <w:rsid w:val="00D009FF"/>
    <w:rsid w:val="00D052DD"/>
    <w:rsid w:val="00D0698A"/>
    <w:rsid w:val="00D13B38"/>
    <w:rsid w:val="00D8103B"/>
    <w:rsid w:val="00E077CB"/>
    <w:rsid w:val="00EB47BA"/>
    <w:rsid w:val="00F262FB"/>
    <w:rsid w:val="00F4663A"/>
    <w:rsid w:val="00F9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1DE2B"/>
  <w15:chartTrackingRefBased/>
  <w15:docId w15:val="{B00D66AA-457C-4E19-B3FD-395C9244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025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C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73E6"/>
  </w:style>
  <w:style w:type="paragraph" w:styleId="llb">
    <w:name w:val="footer"/>
    <w:basedOn w:val="Norml"/>
    <w:link w:val="llbChar"/>
    <w:uiPriority w:val="99"/>
    <w:unhideWhenUsed/>
    <w:rsid w:val="009C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735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</dc:creator>
  <cp:keywords/>
  <dc:description/>
  <cp:lastModifiedBy>x</cp:lastModifiedBy>
  <cp:revision>9</cp:revision>
  <cp:lastPrinted>2018-11-29T19:10:00Z</cp:lastPrinted>
  <dcterms:created xsi:type="dcterms:W3CDTF">2018-11-29T21:47:00Z</dcterms:created>
  <dcterms:modified xsi:type="dcterms:W3CDTF">2018-12-18T14:56:00Z</dcterms:modified>
</cp:coreProperties>
</file>