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72"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-611505</wp:posOffset>
            </wp:positionH>
            <wp:positionV relativeFrom="paragraph">
              <wp:posOffset>-287655</wp:posOffset>
            </wp:positionV>
            <wp:extent cx="1278890" cy="1280160"/>
            <wp:effectExtent l="0" t="0" r="0" b="0"/>
            <wp:wrapSquare wrapText="bothSides"/>
            <wp:docPr id="1" name="Picture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40"/>
        </w:rPr>
        <w:t>E</w:t>
      </w:r>
      <w:r>
        <w:rPr>
          <w:rFonts w:eastAsia="Times New Roman" w:cs="Times New Roman" w:ascii="Times New Roman" w:hAnsi="Times New Roman"/>
          <w:b/>
          <w:sz w:val="36"/>
        </w:rPr>
        <w:t xml:space="preserve">ÖTVÖS </w:t>
      </w:r>
      <w:r>
        <w:rPr>
          <w:rFonts w:eastAsia="Times New Roman" w:cs="Times New Roman" w:ascii="Times New Roman" w:hAnsi="Times New Roman"/>
          <w:b/>
          <w:sz w:val="40"/>
        </w:rPr>
        <w:t>L</w:t>
      </w:r>
      <w:r>
        <w:rPr>
          <w:rFonts w:eastAsia="Times New Roman" w:cs="Times New Roman" w:ascii="Times New Roman" w:hAnsi="Times New Roman"/>
          <w:b/>
          <w:sz w:val="36"/>
        </w:rPr>
        <w:t xml:space="preserve">ORÁND </w:t>
      </w:r>
      <w:r>
        <w:rPr>
          <w:rFonts w:eastAsia="Times New Roman" w:cs="Times New Roman" w:ascii="Times New Roman" w:hAnsi="Times New Roman"/>
          <w:b/>
          <w:sz w:val="40"/>
        </w:rPr>
        <w:t>T</w:t>
      </w:r>
      <w:r>
        <w:rPr>
          <w:rFonts w:eastAsia="Times New Roman" w:cs="Times New Roman" w:ascii="Times New Roman" w:hAnsi="Times New Roman"/>
          <w:b/>
          <w:sz w:val="36"/>
        </w:rPr>
        <w:t>UDOMÁNYEGYETEM</w:t>
      </w:r>
      <w:r>
        <w:rPr>
          <w:sz w:val="36"/>
          <w:vertAlign w:val="subscript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</w:rPr>
        <w:t>T</w:t>
      </w:r>
      <w:r>
        <w:rPr>
          <w:rFonts w:eastAsia="Times New Roman" w:cs="Times New Roman" w:ascii="Times New Roman" w:hAnsi="Times New Roman"/>
          <w:b/>
          <w:sz w:val="36"/>
        </w:rPr>
        <w:t xml:space="preserve">ERMÉSZETTUDOMÁNYI </w:t>
      </w:r>
      <w:r>
        <w:rPr>
          <w:rFonts w:eastAsia="Times New Roman" w:cs="Times New Roman" w:ascii="Times New Roman" w:hAnsi="Times New Roman"/>
          <w:b/>
          <w:sz w:val="40"/>
        </w:rPr>
        <w:t>K</w:t>
      </w:r>
      <w:r>
        <w:rPr>
          <w:rFonts w:eastAsia="Times New Roman" w:cs="Times New Roman" w:ascii="Times New Roman" w:hAnsi="Times New Roman"/>
          <w:b/>
          <w:sz w:val="36"/>
        </w:rPr>
        <w:t>AR</w:t>
      </w:r>
    </w:p>
    <w:p>
      <w:pPr>
        <w:pStyle w:val="Normal"/>
        <w:spacing w:lineRule="auto" w:line="372" w:before="0" w:after="0"/>
        <w:jc w:val="center"/>
        <w:rPr/>
      </w:pPr>
      <w:r>
        <w:rPr>
          <w:rFonts w:eastAsia="Times New Roman" w:cs="Times New Roman" w:ascii="Times New Roman" w:hAnsi="Times New Roman"/>
          <w:sz w:val="32"/>
        </w:rPr>
        <w:t>H</w:t>
      </w:r>
      <w:r>
        <w:rPr>
          <w:rFonts w:eastAsia="Times New Roman" w:cs="Times New Roman" w:ascii="Times New Roman" w:hAnsi="Times New Roman"/>
        </w:rPr>
        <w:t xml:space="preserve">ALLGATÓI </w:t>
      </w:r>
      <w:r>
        <w:rPr>
          <w:rFonts w:eastAsia="Times New Roman" w:cs="Times New Roman" w:ascii="Times New Roman" w:hAnsi="Times New Roman"/>
          <w:sz w:val="32"/>
        </w:rPr>
        <w:t>Ö</w:t>
      </w:r>
      <w:r>
        <w:rPr>
          <w:rFonts w:eastAsia="Times New Roman" w:cs="Times New Roman" w:ascii="Times New Roman" w:hAnsi="Times New Roman"/>
        </w:rPr>
        <w:t>NKORMÁNYZAT</w:t>
      </w:r>
    </w:p>
    <w:p>
      <w:pPr>
        <w:pStyle w:val="Normal"/>
        <w:spacing w:before="0" w:after="139"/>
        <w:ind w:left="292" w:right="-282" w:hanging="1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hu-HU"/>
        </w:rPr>
        <w:t>E</w:t>
      </w:r>
      <w:r>
        <w:rPr>
          <w:rFonts w:eastAsia="Times New Roman" w:cs="Times New Roman" w:ascii="Times New Roman" w:hAnsi="Times New Roman"/>
          <w:sz w:val="32"/>
          <w:szCs w:val="32"/>
        </w:rPr>
        <w:t>lnök</w:t>
      </w:r>
    </w:p>
    <w:p>
      <w:pPr>
        <w:pStyle w:val="Normal"/>
        <w:spacing w:lineRule="auto" w:line="360" w:before="0" w:after="315"/>
        <w:ind w:left="2390" w:right="1763" w:hanging="10"/>
        <w:jc w:val="center"/>
        <w:rPr/>
      </w:pPr>
      <w:r>
        <w:rPr>
          <w:rFonts w:eastAsia="Times New Roman" w:cs="Times New Roman" w:ascii="Times New Roman" w:hAnsi="Times New Roman"/>
        </w:rPr>
        <w:t>1117 Budapest, Pázmány Péter sétány 1/A.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Telefon/fax: 372-2654</w:t>
      </w:r>
    </w:p>
    <w:p>
      <w:pPr>
        <w:pStyle w:val="Heading4"/>
        <w:ind w:left="10" w:right="58" w:hanging="10"/>
        <w:rPr/>
      </w:pPr>
      <w:r>
        <w:rPr>
          <w:sz w:val="28"/>
        </w:rPr>
        <w:t>P</w:t>
      </w:r>
      <w:r>
        <w:rPr/>
        <w:t xml:space="preserve">ÁLYÁZATI </w:t>
      </w:r>
      <w:r>
        <w:rPr>
          <w:sz w:val="28"/>
        </w:rPr>
        <w:t>K</w:t>
      </w:r>
      <w:r>
        <w:rPr/>
        <w:t xml:space="preserve">IÍRÁS </w:t>
      </w:r>
      <w:r>
        <w:rPr>
          <w:rFonts w:eastAsia="Garamond" w:cs="Garamond"/>
          <w:b/>
          <w:color w:val="000000"/>
          <w:lang w:eastAsia="hu-HU"/>
        </w:rPr>
        <w:t xml:space="preserve">RENDEZVÉNYSZERVEZŐ </w:t>
      </w:r>
      <w:r>
        <w:rPr/>
        <w:t>REFERENS TISZTSÉGRE</w:t>
      </w:r>
      <w:r>
        <w:rPr>
          <w:sz w:val="28"/>
        </w:rPr>
        <w:t xml:space="preserve"> </w:t>
      </w:r>
    </w:p>
    <w:p>
      <w:pPr>
        <w:pStyle w:val="Normal"/>
        <w:spacing w:lineRule="auto" w:line="247" w:before="0" w:after="168"/>
        <w:ind w:left="10" w:right="55" w:hanging="10"/>
        <w:jc w:val="both"/>
        <w:rPr/>
      </w:pPr>
      <w:r>
        <w:rPr>
          <w:rFonts w:eastAsia="Garamond" w:cs="Garamond" w:ascii="Garamond" w:hAnsi="Garamond"/>
          <w:sz w:val="24"/>
        </w:rPr>
        <w:t xml:space="preserve">Az ELTE TTK HÖK Alapszabályának 67-68. § alapján pályázatot ír ki </w:t>
      </w:r>
      <w:r>
        <w:rPr>
          <w:rFonts w:eastAsia="Garamond" w:cs="Garamond" w:ascii="Garamond" w:hAnsi="Garamond"/>
          <w:color w:val="000000"/>
          <w:sz w:val="24"/>
          <w:lang w:eastAsia="hu-HU"/>
        </w:rPr>
        <w:t xml:space="preserve">rendezvényszervező </w:t>
      </w:r>
      <w:r>
        <w:rPr>
          <w:rFonts w:eastAsia="Garamond" w:cs="Garamond" w:ascii="Garamond" w:hAnsi="Garamond"/>
          <w:sz w:val="24"/>
        </w:rPr>
        <w:t xml:space="preserve">referensi tisztségre. </w:t>
      </w:r>
    </w:p>
    <w:p>
      <w:pPr>
        <w:pStyle w:val="Normal"/>
        <w:spacing w:lineRule="auto" w:line="247" w:before="0" w:after="261"/>
        <w:ind w:left="10" w:right="55" w:hanging="10"/>
        <w:jc w:val="both"/>
        <w:rPr/>
      </w:pPr>
      <w:r>
        <w:rPr>
          <w:rFonts w:eastAsia="Garamond" w:cs="Garamond" w:ascii="Garamond" w:hAnsi="Garamond"/>
          <w:sz w:val="24"/>
        </w:rPr>
        <w:t xml:space="preserve">A </w:t>
      </w:r>
      <w:r>
        <w:rPr>
          <w:rFonts w:eastAsia="Garamond" w:cs="Garamond" w:ascii="Garamond" w:hAnsi="Garamond"/>
          <w:color w:val="000000"/>
          <w:sz w:val="24"/>
          <w:lang w:eastAsia="hu-HU"/>
        </w:rPr>
        <w:t xml:space="preserve">rendezvényszervező </w:t>
      </w:r>
      <w:r>
        <w:rPr>
          <w:rFonts w:eastAsia="Garamond" w:cs="Garamond" w:ascii="Garamond" w:hAnsi="Garamond"/>
          <w:sz w:val="24"/>
        </w:rPr>
        <w:t xml:space="preserve">referens feladatköre: </w:t>
      </w:r>
    </w:p>
    <w:p>
      <w:pPr>
        <w:pStyle w:val="Normal"/>
        <w:numPr>
          <w:ilvl w:val="0"/>
          <w:numId w:val="1"/>
        </w:numPr>
        <w:spacing w:lineRule="auto" w:line="247" w:before="0" w:after="69"/>
        <w:ind w:left="717" w:right="55" w:hanging="355"/>
        <w:jc w:val="both"/>
        <w:rPr>
          <w:rFonts w:ascii="Garamond" w:hAnsi="Garamond" w:eastAsia="Garamond" w:cs="Garamond"/>
          <w:color w:val="000000"/>
          <w:sz w:val="24"/>
          <w:lang w:eastAsia="hu-HU"/>
        </w:rPr>
      </w:pPr>
      <w:r>
        <w:rPr>
          <w:rFonts w:eastAsia="Garamond" w:cs="Garamond" w:ascii="Garamond" w:hAnsi="Garamond"/>
          <w:color w:val="000000"/>
          <w:sz w:val="24"/>
          <w:lang w:eastAsia="hu-HU"/>
        </w:rPr>
        <w:t>együttműködés a TTK HÖK tisztségviselőivel</w:t>
      </w:r>
    </w:p>
    <w:p>
      <w:pPr>
        <w:pStyle w:val="Normal"/>
        <w:numPr>
          <w:ilvl w:val="0"/>
          <w:numId w:val="1"/>
        </w:numPr>
        <w:spacing w:lineRule="auto" w:line="247" w:before="0" w:after="69"/>
        <w:ind w:left="717" w:right="55" w:hanging="355"/>
        <w:jc w:val="both"/>
        <w:rPr/>
      </w:pPr>
      <w:r>
        <w:rPr>
          <w:rFonts w:eastAsia="Garamond" w:cs="Garamond" w:ascii="Garamond" w:hAnsi="Garamond"/>
          <w:color w:val="000000"/>
          <w:sz w:val="24"/>
          <w:lang w:eastAsia="hu-HU"/>
        </w:rPr>
        <w:t>kari rendezvények szervezésének koordinálása</w:t>
      </w:r>
    </w:p>
    <w:p>
      <w:pPr>
        <w:pStyle w:val="Normal"/>
        <w:numPr>
          <w:ilvl w:val="0"/>
          <w:numId w:val="1"/>
        </w:numPr>
        <w:spacing w:lineRule="auto" w:line="247" w:before="0" w:after="69"/>
        <w:ind w:left="717" w:right="55" w:hanging="355"/>
        <w:jc w:val="both"/>
        <w:rPr>
          <w:rFonts w:ascii="Garamond" w:hAnsi="Garamond" w:eastAsia="Garamond" w:cs="Garamond"/>
          <w:color w:val="000000"/>
          <w:sz w:val="24"/>
          <w:lang w:eastAsia="hu-HU"/>
        </w:rPr>
      </w:pPr>
      <w:r>
        <w:rPr>
          <w:rFonts w:eastAsia="Garamond" w:cs="Garamond" w:ascii="Garamond" w:hAnsi="Garamond"/>
          <w:color w:val="000000"/>
          <w:sz w:val="24"/>
          <w:lang w:eastAsia="hu-HU"/>
        </w:rPr>
        <w:t>szakterületi rendezvények szervezési támogatása</w:t>
      </w:r>
    </w:p>
    <w:p>
      <w:pPr>
        <w:pStyle w:val="Normal"/>
        <w:numPr>
          <w:ilvl w:val="0"/>
          <w:numId w:val="1"/>
        </w:numPr>
        <w:spacing w:lineRule="auto" w:line="247" w:before="0" w:after="69"/>
        <w:ind w:left="717" w:right="55" w:hanging="355"/>
        <w:jc w:val="both"/>
        <w:rPr>
          <w:rFonts w:ascii="Garamond" w:hAnsi="Garamond" w:eastAsia="Garamond" w:cs="Garamond"/>
          <w:color w:val="000000"/>
          <w:sz w:val="24"/>
          <w:lang w:eastAsia="hu-HU"/>
        </w:rPr>
      </w:pPr>
      <w:r>
        <w:rPr>
          <w:rFonts w:eastAsia="Garamond" w:cs="Garamond" w:ascii="Garamond" w:hAnsi="Garamond"/>
          <w:color w:val="000000"/>
          <w:sz w:val="24"/>
          <w:lang w:eastAsia="hu-HU"/>
        </w:rPr>
        <w:t>együttműködés az EHÖK-kel és a részönkormányzatokkal rendezvények kérdésében</w:t>
      </w:r>
    </w:p>
    <w:p>
      <w:pPr>
        <w:pStyle w:val="Normal"/>
        <w:spacing w:lineRule="auto" w:line="247" w:before="0" w:after="149"/>
        <w:ind w:right="55" w:hanging="0"/>
        <w:jc w:val="both"/>
        <w:rPr/>
      </w:pPr>
      <w:r>
        <w:rPr>
          <w:rFonts w:eastAsia="Garamond" w:cs="Garamond" w:ascii="Garamond" w:hAnsi="Garamond"/>
          <w:sz w:val="24"/>
        </w:rPr>
        <w:t xml:space="preserve">A feladatokat a TTK HÖK Alapszabályának tisztségviselőkre vonatkozó általános rendelkezéseinek, valamint a Hallgatói Önkormányzat alapelveinek figyelembevételével kell ellátnia. </w:t>
      </w:r>
    </w:p>
    <w:p>
      <w:pPr>
        <w:pStyle w:val="Normal"/>
        <w:spacing w:lineRule="auto" w:line="247" w:before="0" w:after="149"/>
        <w:ind w:left="10" w:right="55" w:hanging="10"/>
        <w:jc w:val="both"/>
        <w:rPr/>
      </w:pPr>
      <w:r>
        <w:rPr>
          <w:rFonts w:eastAsia="Garamond" w:cs="Garamond" w:ascii="Garamond" w:hAnsi="Garamond"/>
          <w:sz w:val="24"/>
        </w:rPr>
        <w:t xml:space="preserve">A tisztségviselői ösztöndíj a TTK HÖK Alapszabályának 76. § (3) bekezdése alapján legfeljebb a hallgatói normatíva </w:t>
      </w:r>
      <w:r>
        <w:rPr>
          <w:rFonts w:eastAsia="Garamond" w:cs="Garamond" w:ascii="Garamond" w:hAnsi="Garamond"/>
          <w:color w:val="000000"/>
          <w:sz w:val="24"/>
          <w:lang w:eastAsia="hu-HU"/>
        </w:rPr>
        <w:t>25</w:t>
      </w:r>
      <w:r>
        <w:rPr>
          <w:rFonts w:eastAsia="Garamond" w:cs="Garamond" w:ascii="Garamond" w:hAnsi="Garamond"/>
          <w:sz w:val="24"/>
        </w:rPr>
        <w:t xml:space="preserve"> százaléka. A Küldöttgyűlés határozatával ettől alacsonyabb ösztöndíjat is állapíthat meg. </w:t>
      </w:r>
    </w:p>
    <w:p>
      <w:pPr>
        <w:pStyle w:val="Normal"/>
        <w:spacing w:before="0" w:after="136"/>
        <w:rPr/>
      </w:pPr>
      <w:r>
        <w:rPr>
          <w:rFonts w:eastAsia="Garamond" w:cs="Garamond" w:ascii="Garamond" w:hAnsi="Garamond"/>
          <w:sz w:val="24"/>
        </w:rPr>
        <w:t xml:space="preserve"> </w:t>
      </w:r>
    </w:p>
    <w:p>
      <w:pPr>
        <w:pStyle w:val="Normal"/>
        <w:spacing w:lineRule="auto" w:line="237" w:before="0" w:after="161"/>
        <w:ind w:left="14" w:right="54" w:hanging="10"/>
        <w:jc w:val="both"/>
        <w:rPr/>
      </w:pPr>
      <w:r>
        <w:rPr>
          <w:rFonts w:eastAsia="Garamond" w:cs="Garamond" w:ascii="Garamond" w:hAnsi="Garamond"/>
          <w:sz w:val="24"/>
        </w:rPr>
        <w:t>TTK HÖK Alapszabály 70. § (2): „</w:t>
      </w:r>
      <w:r>
        <w:rPr>
          <w:rFonts w:eastAsia="Garamond" w:cs="Garamond" w:ascii="Garamond" w:hAnsi="Garamond"/>
          <w:i/>
          <w:sz w:val="24"/>
        </w:rPr>
        <w:t>A Küldöttgyűlés csak olyan személy pályázatát tárgyalhatja, aki a tisztségviselői poszt betöltését tárgyaló ülés hivatalos meghívójában szereplő kezdeti időpont előtt 72 – alakuló küldöttgyűlési ülés esetén 96 – órával benyújtotta pályázatát az adott tisztségre és azt a képviselőknek elektronikusan eljuttatta. Különösen indokolt esetben a testület ettől a rendelkezéstől kétharmados többséggel eltekinthet.</w:t>
      </w:r>
      <w:r>
        <w:rPr>
          <w:rFonts w:eastAsia="Garamond" w:cs="Garamond" w:ascii="Garamond" w:hAnsi="Garamond"/>
          <w:sz w:val="24"/>
        </w:rPr>
        <w:t xml:space="preserve">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Jeges Viktor </w:t>
      </w:r>
      <w:r>
        <w:rPr>
          <w:rFonts w:ascii="Garamond" w:hAnsi="Garamond"/>
          <w:sz w:val="24"/>
          <w:szCs w:val="24"/>
        </w:rPr>
        <w:t>Péter</w:t>
      </w:r>
      <w:r>
        <w:rPr>
          <w:rFonts w:ascii="Garamond" w:hAnsi="Garamond"/>
          <w:sz w:val="24"/>
          <w:szCs w:val="24"/>
        </w:rPr>
        <w:br/>
      </w:r>
      <w:r>
        <w:rPr>
          <w:rFonts w:eastAsia="Calibri" w:cs="Calibri" w:ascii="Garamond" w:hAnsi="Garamond"/>
          <w:color w:val="000000"/>
          <w:sz w:val="24"/>
          <w:szCs w:val="24"/>
          <w:lang w:eastAsia="hu-HU"/>
        </w:rPr>
        <w:t>El</w:t>
      </w:r>
      <w:r>
        <w:rPr>
          <w:rFonts w:ascii="Garamond" w:hAnsi="Garamond"/>
          <w:sz w:val="24"/>
          <w:szCs w:val="24"/>
        </w:rPr>
        <w:t>nök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auto"/>
    <w:pitch w:val="default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17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8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8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8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8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8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2b6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hu-HU" w:val="hu-HU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1f2b6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Cmsor4Char"/>
    <w:uiPriority w:val="9"/>
    <w:unhideWhenUsed/>
    <w:qFormat/>
    <w:rsid w:val="001f2b65"/>
    <w:pPr>
      <w:keepNext w:val="true"/>
      <w:keepLines/>
      <w:widowControl/>
      <w:bidi w:val="0"/>
      <w:spacing w:lineRule="auto" w:line="264" w:before="0" w:after="690"/>
      <w:ind w:left="10" w:right="52" w:hanging="10"/>
      <w:jc w:val="center"/>
      <w:outlineLvl w:val="3"/>
    </w:pPr>
    <w:rPr>
      <w:rFonts w:ascii="Garamond" w:hAnsi="Garamond" w:eastAsia="Garamond" w:cs="Garamond"/>
      <w:b/>
      <w:color w:val="000000"/>
      <w:kern w:val="0"/>
      <w:sz w:val="22"/>
      <w:szCs w:val="22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4Char" w:customStyle="1">
    <w:name w:val="Címsor 4 Char"/>
    <w:basedOn w:val="DefaultParagraphFont"/>
    <w:link w:val="Cmsor4"/>
    <w:uiPriority w:val="9"/>
    <w:qFormat/>
    <w:rsid w:val="001f2b65"/>
    <w:rPr>
      <w:rFonts w:ascii="Garamond" w:hAnsi="Garamond" w:eastAsia="Garamond" w:cs="Garamond"/>
      <w:b/>
      <w:color w:val="000000"/>
      <w:lang w:eastAsia="hu-HU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1f2b6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hu-H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LibreOffice/6.4.6.2$Linux_X86_64 LibreOffice_project/40$Build-2</Application>
  <Pages>1</Pages>
  <Words>168</Words>
  <Characters>1255</Characters>
  <CharactersWithSpaces>1413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2020-07-31T11:55:00Z</dcterms:created>
  <dc:creator>Gábor Balga</dc:creator>
  <dc:description/>
  <dc:language>en-US</dc:language>
  <cp:lastModifiedBy/>
  <dcterms:modified xsi:type="dcterms:W3CDTF">2021-06-25T15:52:27Z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